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70486" w:rsidR="00844452" w:rsidP="268FE394" w:rsidRDefault="00844452" w14:paraId="080168BF" w14:textId="77777777">
      <w:pPr>
        <w:rPr>
          <w:rFonts w:ascii="Arial" w:hAnsi="Arial" w:eastAsia="Arial" w:cs="Arial"/>
        </w:rPr>
      </w:pPr>
      <w:r w:rsidRPr="00F70486">
        <w:rPr>
          <w:noProof/>
          <w:lang w:eastAsia="en-GB"/>
        </w:rPr>
        <mc:AlternateContent>
          <mc:Choice Requires="wps">
            <w:drawing>
              <wp:inline distT="0" distB="0" distL="0" distR="0" wp14:anchorId="7D079FA4" wp14:editId="0901366E">
                <wp:extent cx="5682615" cy="1543050"/>
                <wp:effectExtent l="0" t="0" r="0" b="0"/>
                <wp:docPr id="6" name="Text Box 6"/>
                <wp:cNvGraphicFramePr/>
                <a:graphic xmlns:a="http://schemas.openxmlformats.org/drawingml/2006/main">
                  <a:graphicData uri="http://schemas.microsoft.com/office/word/2010/wordprocessingShape">
                    <wps:wsp>
                      <wps:cNvSpPr/>
                      <wps:spPr>
                        <a:xfrm>
                          <a:off x="0" y="0"/>
                          <a:ext cx="5682615" cy="1543050"/>
                        </a:xfrm>
                        <a:prstGeom prst="rect">
                          <a:avLst/>
                        </a:prstGeom>
                        <a:solidFill>
                          <a:schemeClr val="tx2">
                            <a:lumMod val="75000"/>
                          </a:schemeClr>
                        </a:solidFill>
                        <a:ln>
                          <a:noFill/>
                        </a:ln>
                      </wps:spPr>
                      <wps:style>
                        <a:lnRef idx="0">
                          <a:schemeClr val="accent1"/>
                        </a:lnRef>
                        <a:fillRef idx="0">
                          <a:schemeClr val="accent1"/>
                        </a:fillRef>
                        <a:effectRef idx="0">
                          <a:scrgbClr r="0" g="0" b="0"/>
                        </a:effectRef>
                        <a:fontRef idx="minor">
                          <a:schemeClr val="dk1"/>
                        </a:fontRef>
                      </wps:style>
                      <wps:txbx>
                        <w:txbxContent>
                          <w:p w:rsidR="00D92AC7" w:rsidP="00DB2A85" w:rsidRDefault="00D92AC7" w14:paraId="226684EE" w14:textId="77777777">
                            <w:pPr>
                              <w:spacing w:line="252" w:lineRule="auto"/>
                              <w:jc w:val="center"/>
                              <w:rPr>
                                <w:rFonts w:ascii="Arial" w:hAnsi="Arial" w:cs="Arial"/>
                                <w:color w:val="FFFFFF"/>
                                <w:sz w:val="96"/>
                                <w:szCs w:val="96"/>
                                <w:lang w:val="en-US"/>
                              </w:rPr>
                            </w:pPr>
                            <w:r>
                              <w:rPr>
                                <w:rFonts w:ascii="Arial" w:hAnsi="Arial" w:cs="Arial"/>
                                <w:color w:val="FFFFFF"/>
                                <w:sz w:val="96"/>
                                <w:szCs w:val="96"/>
                                <w:lang w:val="en-US"/>
                              </w:rPr>
                              <w:t>PhD Opportunity</w:t>
                            </w:r>
                          </w:p>
                          <w:p w:rsidRPr="00FD127B" w:rsidR="00D92AC7" w:rsidP="00FD127B" w:rsidRDefault="00FD127B" w14:paraId="52066591" w14:textId="77777777">
                            <w:pPr>
                              <w:spacing w:line="276" w:lineRule="auto"/>
                              <w:jc w:val="center"/>
                              <w:rPr>
                                <w:rFonts w:ascii="Arial" w:hAnsi="Arial" w:cs="Arial"/>
                                <w:color w:val="FFFFFF"/>
                                <w:sz w:val="32"/>
                                <w:szCs w:val="32"/>
                                <w:lang w:val="en-US"/>
                              </w:rPr>
                            </w:pPr>
                            <w:r>
                              <w:rPr>
                                <w:rFonts w:ascii="Arial" w:hAnsi="Arial" w:cs="Arial"/>
                                <w:color w:val="FFFFFF"/>
                                <w:sz w:val="32"/>
                                <w:szCs w:val="32"/>
                                <w:lang w:val="en-US"/>
                              </w:rPr>
                              <w:t>Pre-registration h</w:t>
                            </w:r>
                            <w:r w:rsidRPr="00FD127B" w:rsidR="00C21F2F">
                              <w:rPr>
                                <w:rFonts w:ascii="Arial" w:hAnsi="Arial" w:cs="Arial"/>
                                <w:color w:val="FFFFFF"/>
                                <w:sz w:val="32"/>
                                <w:szCs w:val="32"/>
                                <w:lang w:val="en-US"/>
                              </w:rPr>
                              <w:t>ealth care students</w:t>
                            </w:r>
                            <w:r>
                              <w:rPr>
                                <w:rFonts w:ascii="Arial" w:hAnsi="Arial" w:cs="Arial"/>
                                <w:color w:val="FFFFFF"/>
                                <w:sz w:val="32"/>
                                <w:szCs w:val="32"/>
                                <w:lang w:val="en-US"/>
                              </w:rPr>
                              <w:t>’</w:t>
                            </w:r>
                            <w:r w:rsidRPr="00FD127B" w:rsidR="00C21F2F">
                              <w:rPr>
                                <w:rFonts w:ascii="Arial" w:hAnsi="Arial" w:cs="Arial"/>
                                <w:color w:val="FFFFFF"/>
                                <w:sz w:val="32"/>
                                <w:szCs w:val="32"/>
                                <w:lang w:val="en-US"/>
                              </w:rPr>
                              <w:t xml:space="preserve"> experiences of the safe learning environment charter (SLEC)</w:t>
                            </w:r>
                          </w:p>
                          <w:p w:rsidR="00D92AC7" w:rsidP="00DB2A85" w:rsidRDefault="00D92AC7" w14:paraId="5A7353FA" w14:textId="77777777">
                            <w:pPr>
                              <w:spacing w:line="276" w:lineRule="auto"/>
                              <w:rPr>
                                <w:rFonts w:ascii="Bliss 2 Regular" w:hAnsi="Bliss 2 Regular"/>
                                <w:color w:val="FFFFFF"/>
                                <w:sz w:val="18"/>
                                <w:szCs w:val="18"/>
                                <w:lang w:val="en-US"/>
                              </w:rPr>
                            </w:pPr>
                            <w:r>
                              <w:rPr>
                                <w:rFonts w:ascii="Bliss 2 Regular" w:hAnsi="Bliss 2 Regular"/>
                                <w:color w:val="FFFFFF"/>
                                <w:sz w:val="18"/>
                                <w:szCs w:val="18"/>
                                <w:lang w:val="en-US"/>
                              </w:rPr>
                              <w:t> </w:t>
                            </w:r>
                          </w:p>
                          <w:p w:rsidR="00D92AC7" w:rsidP="00DB2A85" w:rsidRDefault="00D92AC7" w14:paraId="156971AB" w14:textId="77777777">
                            <w:pPr>
                              <w:spacing w:line="160" w:lineRule="exact"/>
                              <w:rPr>
                                <w:rFonts w:ascii="Bliss 2 Regular" w:hAnsi="Bliss 2 Regular"/>
                                <w:b/>
                                <w:bCs/>
                                <w:color w:val="FF0000"/>
                                <w:sz w:val="40"/>
                                <w:szCs w:val="40"/>
                                <w:lang w:val="en-US"/>
                              </w:rPr>
                            </w:pPr>
                            <w:r>
                              <w:rPr>
                                <w:rFonts w:ascii="Bliss 2 Regular" w:hAnsi="Bliss 2 Regular"/>
                                <w:b/>
                                <w:bCs/>
                                <w:color w:val="FF0000"/>
                                <w:sz w:val="40"/>
                                <w:szCs w:val="40"/>
                                <w:lang w:val="en-US"/>
                              </w:rPr>
                              <w:t> </w:t>
                            </w:r>
                          </w:p>
                          <w:p w:rsidR="00D92AC7" w:rsidP="00DB2A85" w:rsidRDefault="00D92AC7" w14:paraId="093A6A6B"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21112E50"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2B2A89AE"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19F0B127"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41C8EFF2"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54A9FB64"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Closing date: </w:t>
                            </w:r>
                          </w:p>
                          <w:p w:rsidR="00D92AC7" w:rsidP="00DB2A85" w:rsidRDefault="00D92AC7" w14:paraId="181E1B6C"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560ECDE2"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Interview date: </w:t>
                            </w:r>
                          </w:p>
                        </w:txbxContent>
                      </wps:txbx>
                      <wps:bodyPr spcFirstLastPara="0" wrap="square" lIns="91440" tIns="45720" rIns="91440" bIns="45720" anchor="t">
                        <a:noAutofit/>
                      </wps:bodyPr>
                    </wps:wsp>
                  </a:graphicData>
                </a:graphic>
              </wp:inline>
            </w:drawing>
          </mc:Choice>
          <mc:Fallback>
            <w:pict>
              <v:rect id="Text Box 6" style="width:447.45pt;height:121.5pt;visibility:visible;mso-wrap-style:square;mso-left-percent:-10001;mso-top-percent:-10001;mso-position-horizontal:absolute;mso-position-horizontal-relative:char;mso-position-vertical:absolute;mso-position-vertical-relative:line;mso-left-percent:-10001;mso-top-percent:-10001;v-text-anchor:top" o:spid="_x0000_s1026" fillcolor="#17365d [2415]" stroked="f" w14:anchorId="7D079F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">
                <v:textbox>
                  <w:txbxContent>
                    <w:p w:rsidR="00D92AC7" w:rsidP="00DB2A85" w:rsidRDefault="00D92AC7" w14:paraId="226684EE" w14:textId="77777777">
                      <w:pPr>
                        <w:spacing w:line="252" w:lineRule="auto"/>
                        <w:jc w:val="center"/>
                        <w:rPr>
                          <w:rFonts w:ascii="Arial" w:hAnsi="Arial" w:cs="Arial"/>
                          <w:color w:val="FFFFFF"/>
                          <w:sz w:val="96"/>
                          <w:szCs w:val="96"/>
                          <w:lang w:val="en-US"/>
                        </w:rPr>
                      </w:pPr>
                      <w:r>
                        <w:rPr>
                          <w:rFonts w:ascii="Arial" w:hAnsi="Arial" w:cs="Arial"/>
                          <w:color w:val="FFFFFF"/>
                          <w:sz w:val="96"/>
                          <w:szCs w:val="96"/>
                          <w:lang w:val="en-US"/>
                        </w:rPr>
                        <w:t>PhD Opportunity</w:t>
                      </w:r>
                    </w:p>
                    <w:p w:rsidRPr="00FD127B" w:rsidR="00D92AC7" w:rsidP="00FD127B" w:rsidRDefault="00FD127B" w14:paraId="52066591" w14:textId="77777777">
                      <w:pPr>
                        <w:spacing w:line="276" w:lineRule="auto"/>
                        <w:jc w:val="center"/>
                        <w:rPr>
                          <w:rFonts w:ascii="Arial" w:hAnsi="Arial" w:cs="Arial"/>
                          <w:color w:val="FFFFFF"/>
                          <w:sz w:val="32"/>
                          <w:szCs w:val="32"/>
                          <w:lang w:val="en-US"/>
                        </w:rPr>
                      </w:pPr>
                      <w:r>
                        <w:rPr>
                          <w:rFonts w:ascii="Arial" w:hAnsi="Arial" w:cs="Arial"/>
                          <w:color w:val="FFFFFF"/>
                          <w:sz w:val="32"/>
                          <w:szCs w:val="32"/>
                          <w:lang w:val="en-US"/>
                        </w:rPr>
                        <w:t>Pre-registration h</w:t>
                      </w:r>
                      <w:r w:rsidRPr="00FD127B" w:rsidR="00C21F2F">
                        <w:rPr>
                          <w:rFonts w:ascii="Arial" w:hAnsi="Arial" w:cs="Arial"/>
                          <w:color w:val="FFFFFF"/>
                          <w:sz w:val="32"/>
                          <w:szCs w:val="32"/>
                          <w:lang w:val="en-US"/>
                        </w:rPr>
                        <w:t>ealth care students</w:t>
                      </w:r>
                      <w:r>
                        <w:rPr>
                          <w:rFonts w:ascii="Arial" w:hAnsi="Arial" w:cs="Arial"/>
                          <w:color w:val="FFFFFF"/>
                          <w:sz w:val="32"/>
                          <w:szCs w:val="32"/>
                          <w:lang w:val="en-US"/>
                        </w:rPr>
                        <w:t>’</w:t>
                      </w:r>
                      <w:r w:rsidRPr="00FD127B" w:rsidR="00C21F2F">
                        <w:rPr>
                          <w:rFonts w:ascii="Arial" w:hAnsi="Arial" w:cs="Arial"/>
                          <w:color w:val="FFFFFF"/>
                          <w:sz w:val="32"/>
                          <w:szCs w:val="32"/>
                          <w:lang w:val="en-US"/>
                        </w:rPr>
                        <w:t xml:space="preserve"> experiences of the safe learning environment charter (SLEC)</w:t>
                      </w:r>
                    </w:p>
                    <w:p w:rsidR="00D92AC7" w:rsidP="00DB2A85" w:rsidRDefault="00D92AC7" w14:paraId="5A7353FA" w14:textId="77777777">
                      <w:pPr>
                        <w:spacing w:line="276" w:lineRule="auto"/>
                        <w:rPr>
                          <w:rFonts w:ascii="Bliss 2 Regular" w:hAnsi="Bliss 2 Regular"/>
                          <w:color w:val="FFFFFF"/>
                          <w:sz w:val="18"/>
                          <w:szCs w:val="18"/>
                          <w:lang w:val="en-US"/>
                        </w:rPr>
                      </w:pPr>
                      <w:r>
                        <w:rPr>
                          <w:rFonts w:ascii="Bliss 2 Regular" w:hAnsi="Bliss 2 Regular"/>
                          <w:color w:val="FFFFFF"/>
                          <w:sz w:val="18"/>
                          <w:szCs w:val="18"/>
                          <w:lang w:val="en-US"/>
                        </w:rPr>
                        <w:t> </w:t>
                      </w:r>
                    </w:p>
                    <w:p w:rsidR="00D92AC7" w:rsidP="00DB2A85" w:rsidRDefault="00D92AC7" w14:paraId="156971AB" w14:textId="77777777">
                      <w:pPr>
                        <w:spacing w:line="160" w:lineRule="exact"/>
                        <w:rPr>
                          <w:rFonts w:ascii="Bliss 2 Regular" w:hAnsi="Bliss 2 Regular"/>
                          <w:b/>
                          <w:bCs/>
                          <w:color w:val="FF0000"/>
                          <w:sz w:val="40"/>
                          <w:szCs w:val="40"/>
                          <w:lang w:val="en-US"/>
                        </w:rPr>
                      </w:pPr>
                      <w:r>
                        <w:rPr>
                          <w:rFonts w:ascii="Bliss 2 Regular" w:hAnsi="Bliss 2 Regular"/>
                          <w:b/>
                          <w:bCs/>
                          <w:color w:val="FF0000"/>
                          <w:sz w:val="40"/>
                          <w:szCs w:val="40"/>
                          <w:lang w:val="en-US"/>
                        </w:rPr>
                        <w:t> </w:t>
                      </w:r>
                    </w:p>
                    <w:p w:rsidR="00D92AC7" w:rsidP="00DB2A85" w:rsidRDefault="00D92AC7" w14:paraId="093A6A6B"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21112E50"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2B2A89AE"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19F0B127"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41C8EFF2"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54A9FB64"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Closing date: </w:t>
                      </w:r>
                    </w:p>
                    <w:p w:rsidR="00D92AC7" w:rsidP="00DB2A85" w:rsidRDefault="00D92AC7" w14:paraId="181E1B6C"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560ECDE2"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Interview date: </w:t>
                      </w:r>
                    </w:p>
                  </w:txbxContent>
                </v:textbox>
                <w10:anchorlock/>
              </v:rect>
            </w:pict>
          </mc:Fallback>
        </mc:AlternateContent>
      </w:r>
    </w:p>
    <w:p w:rsidRPr="00F70486" w:rsidR="00844452" w:rsidP="268FE394" w:rsidRDefault="00844452" w14:paraId="391C2534" w14:textId="77777777">
      <w:pPr>
        <w:rPr>
          <w:rFonts w:ascii="Arial" w:hAnsi="Arial" w:eastAsia="Arial" w:cs="Arial"/>
        </w:rPr>
      </w:pPr>
    </w:p>
    <w:p w:rsidRPr="00F70486" w:rsidR="00844452" w:rsidP="268FE394" w:rsidRDefault="00844452" w14:paraId="07CC101D" w14:textId="77777777">
      <w:pPr>
        <w:rPr>
          <w:rFonts w:ascii="Arial" w:hAnsi="Arial" w:eastAsia="Arial" w:cs="Arial"/>
        </w:rPr>
      </w:pPr>
    </w:p>
    <w:p w:rsidRPr="00F70486" w:rsidR="00844452" w:rsidP="268FE394" w:rsidRDefault="00844452" w14:paraId="3A92E24E" w14:textId="77777777">
      <w:pPr>
        <w:rPr>
          <w:rFonts w:ascii="Arial" w:hAnsi="Arial" w:eastAsia="Arial" w:cs="Arial"/>
        </w:rPr>
      </w:pPr>
    </w:p>
    <w:p w:rsidRPr="009D09ED" w:rsidR="00844452" w:rsidP="1E1B07B7" w:rsidRDefault="00844452" w14:paraId="6B7FB49D" w14:textId="77777777">
      <w:pPr>
        <w:pStyle w:val="Heading2"/>
        <w:ind w:right="62"/>
        <w:rPr>
          <w:rFonts w:eastAsia="Arial" w:cs="Arial"/>
          <w:sz w:val="24"/>
        </w:rPr>
      </w:pPr>
      <w:r w:rsidRPr="19E0A1AE">
        <w:rPr>
          <w:rFonts w:eastAsia="Arial" w:cs="Arial"/>
          <w:sz w:val="24"/>
        </w:rPr>
        <w:t>Supervisory team</w:t>
      </w:r>
      <w:r w:rsidRPr="19E0A1AE" w:rsidR="009D09ED">
        <w:rPr>
          <w:rFonts w:eastAsia="Arial" w:cs="Arial"/>
          <w:sz w:val="24"/>
        </w:rPr>
        <w:t>:</w:t>
      </w:r>
      <w:r w:rsidRPr="19E0A1AE" w:rsidR="00FD127B">
        <w:rPr>
          <w:rFonts w:eastAsia="Arial" w:cs="Arial"/>
          <w:sz w:val="24"/>
        </w:rPr>
        <w:t xml:space="preserve"> </w:t>
      </w:r>
      <w:r w:rsidRPr="19E0A1AE" w:rsidR="0ECCE242">
        <w:rPr>
          <w:rFonts w:eastAsia="Arial" w:cs="Arial"/>
          <w:sz w:val="24"/>
        </w:rPr>
        <w:t>Dr Kay Norman, Dr Lucy Hope</w:t>
      </w:r>
    </w:p>
    <w:p w:rsidR="19E0A1AE" w:rsidP="19E0A1AE" w:rsidRDefault="19E0A1AE" w14:paraId="1D40E672" w14:textId="77777777">
      <w:pPr>
        <w:rPr>
          <w:rFonts w:ascii="Arial" w:hAnsi="Arial" w:eastAsia="Arial" w:cs="Arial"/>
          <w:b/>
          <w:bCs/>
          <w:i/>
          <w:iCs/>
        </w:rPr>
      </w:pPr>
    </w:p>
    <w:p w:rsidRPr="00C21F2F" w:rsidR="00844452" w:rsidP="268FE394" w:rsidRDefault="00844452" w14:paraId="5DD55D2F" w14:textId="77777777">
      <w:pPr>
        <w:rPr>
          <w:rFonts w:ascii="Arial" w:hAnsi="Arial" w:eastAsia="Arial" w:cs="Arial"/>
        </w:rPr>
      </w:pPr>
      <w:r w:rsidRPr="19E0A1AE">
        <w:rPr>
          <w:rFonts w:ascii="Arial" w:hAnsi="Arial" w:eastAsia="Arial" w:cs="Arial"/>
          <w:b/>
          <w:bCs/>
          <w:i/>
          <w:iCs/>
        </w:rPr>
        <w:t>Director of Studies</w:t>
      </w:r>
      <w:r w:rsidRPr="19E0A1AE">
        <w:rPr>
          <w:rFonts w:ascii="Arial" w:hAnsi="Arial" w:eastAsia="Arial" w:cs="Arial"/>
          <w:i/>
          <w:iCs/>
        </w:rPr>
        <w:t>:</w:t>
      </w:r>
      <w:r w:rsidRPr="19E0A1AE" w:rsidR="00C21F2F">
        <w:rPr>
          <w:rFonts w:ascii="Arial" w:hAnsi="Arial" w:eastAsia="Arial" w:cs="Arial"/>
          <w:i/>
          <w:iCs/>
        </w:rPr>
        <w:t xml:space="preserve"> </w:t>
      </w:r>
      <w:r w:rsidRPr="19E0A1AE" w:rsidR="00C21F2F">
        <w:rPr>
          <w:rFonts w:ascii="Arial" w:hAnsi="Arial" w:eastAsia="Arial" w:cs="Arial"/>
          <w:b/>
          <w:bCs/>
        </w:rPr>
        <w:t>Dr Kay Norman</w:t>
      </w:r>
    </w:p>
    <w:p w:rsidRPr="00C21F2F" w:rsidR="00DA6D18" w:rsidP="268FE394" w:rsidRDefault="00DA6D18" w14:paraId="5D64AFA3" w14:textId="77777777">
      <w:pPr>
        <w:rPr>
          <w:rFonts w:ascii="Arial" w:hAnsi="Arial" w:eastAsia="Arial" w:cs="Arial"/>
          <w:b/>
          <w:bCs/>
        </w:rPr>
      </w:pPr>
    </w:p>
    <w:p w:rsidR="00844452" w:rsidP="19E0A1AE" w:rsidRDefault="00844452" w14:paraId="7AB2D8B4" w14:textId="77777777">
      <w:pPr>
        <w:spacing w:after="160" w:line="257" w:lineRule="auto"/>
        <w:rPr>
          <w:rFonts w:ascii="Arial" w:hAnsi="Arial" w:eastAsia="Arial" w:cs="Arial"/>
        </w:rPr>
      </w:pPr>
      <w:r w:rsidRPr="19E0A1AE">
        <w:rPr>
          <w:rFonts w:ascii="Arial" w:hAnsi="Arial" w:eastAsia="Arial" w:cs="Arial"/>
          <w:b/>
          <w:bCs/>
          <w:i/>
          <w:iCs/>
        </w:rPr>
        <w:t>Supervisors</w:t>
      </w:r>
      <w:r w:rsidRPr="19E0A1AE">
        <w:rPr>
          <w:rFonts w:ascii="Arial" w:hAnsi="Arial" w:eastAsia="Arial" w:cs="Arial"/>
          <w:i/>
          <w:iCs/>
        </w:rPr>
        <w:t>:</w:t>
      </w:r>
      <w:r w:rsidRPr="19E0A1AE" w:rsidR="00C21F2F">
        <w:rPr>
          <w:rFonts w:ascii="Arial" w:hAnsi="Arial" w:eastAsia="Arial" w:cs="Arial"/>
          <w:i/>
          <w:iCs/>
        </w:rPr>
        <w:t xml:space="preserve"> </w:t>
      </w:r>
    </w:p>
    <w:p w:rsidR="4D39CD23" w:rsidP="19E0A1AE" w:rsidRDefault="4D39CD23" w14:paraId="3A305F16" w14:textId="77777777">
      <w:pPr>
        <w:pStyle w:val="Heading2"/>
        <w:ind w:right="62"/>
        <w:rPr>
          <w:rFonts w:eastAsia="Arial" w:cs="Arial"/>
          <w:sz w:val="24"/>
        </w:rPr>
      </w:pPr>
      <w:r w:rsidRPr="19E0A1AE">
        <w:rPr>
          <w:rFonts w:eastAsia="Arial" w:cs="Arial"/>
          <w:sz w:val="24"/>
        </w:rPr>
        <w:t>Dr Kay Norman, Principal Lecturer Adult Nursing, Head of Teaching Excellence, School of Nursing and Midwifery.</w:t>
      </w:r>
    </w:p>
    <w:p w:rsidR="19E0A1AE" w:rsidP="19E0A1AE" w:rsidRDefault="19E0A1AE" w14:paraId="6CBCA5D5" w14:textId="77777777"/>
    <w:p w:rsidR="4D39CD23" w:rsidP="19E0A1AE" w:rsidRDefault="4D39CD23" w14:paraId="1C32CA3A" w14:textId="77777777">
      <w:pPr>
        <w:rPr>
          <w:rFonts w:ascii="Arial" w:hAnsi="Arial" w:eastAsia="Arial" w:cs="Arial"/>
          <w:b/>
          <w:bCs/>
        </w:rPr>
      </w:pPr>
      <w:r w:rsidRPr="19E0A1AE">
        <w:rPr>
          <w:rFonts w:ascii="Arial" w:hAnsi="Arial" w:eastAsia="Arial" w:cs="Arial"/>
          <w:b/>
          <w:bCs/>
        </w:rPr>
        <w:t>Dr Lucy Hope, Principal Lecturer Midwifery, Lead Midwife for Education, School of Nursing and Midwifery.</w:t>
      </w:r>
    </w:p>
    <w:p w:rsidR="19E0A1AE" w:rsidP="19E0A1AE" w:rsidRDefault="19E0A1AE" w14:paraId="6384D1A2" w14:textId="77777777">
      <w:pPr>
        <w:rPr>
          <w:rFonts w:ascii="Arial" w:hAnsi="Arial" w:eastAsia="Arial" w:cs="Arial"/>
        </w:rPr>
      </w:pPr>
    </w:p>
    <w:p w:rsidR="00E65F70" w:rsidP="19E0A1AE" w:rsidRDefault="00E65F70" w14:paraId="796B2763" w14:textId="77777777">
      <w:pPr>
        <w:pStyle w:val="Heading2"/>
        <w:ind w:right="62"/>
        <w:rPr>
          <w:rFonts w:cs="Arial"/>
          <w:b w:val="0"/>
          <w:bCs w:val="0"/>
          <w:sz w:val="24"/>
        </w:rPr>
      </w:pPr>
      <w:r w:rsidRPr="19E0A1AE">
        <w:rPr>
          <w:rFonts w:cs="Arial"/>
          <w:sz w:val="24"/>
        </w:rPr>
        <w:t>Research Group:</w:t>
      </w:r>
      <w:r w:rsidRPr="19E0A1AE">
        <w:rPr>
          <w:rFonts w:eastAsia="Arial" w:cs="Arial"/>
          <w:sz w:val="24"/>
        </w:rPr>
        <w:t xml:space="preserve"> </w:t>
      </w:r>
      <w:r w:rsidRPr="19E0A1AE" w:rsidR="00C21F2F">
        <w:rPr>
          <w:rFonts w:eastAsia="Arial" w:cs="Arial"/>
          <w:sz w:val="24"/>
        </w:rPr>
        <w:t xml:space="preserve">Health </w:t>
      </w:r>
      <w:r w:rsidRPr="19E0A1AE" w:rsidR="0FF6A3D9">
        <w:rPr>
          <w:rFonts w:eastAsia="Arial" w:cs="Arial"/>
          <w:sz w:val="24"/>
        </w:rPr>
        <w:t>P</w:t>
      </w:r>
      <w:r w:rsidRPr="19E0A1AE" w:rsidR="00C21F2F">
        <w:rPr>
          <w:rFonts w:eastAsia="Arial" w:cs="Arial"/>
          <w:sz w:val="24"/>
        </w:rPr>
        <w:t>rofessions Education and Practice</w:t>
      </w:r>
    </w:p>
    <w:p w:rsidR="00E65F70" w:rsidP="00AF0D2A" w:rsidRDefault="00E65F70" w14:paraId="1ED3049E" w14:textId="77777777">
      <w:pPr>
        <w:pStyle w:val="Heading2"/>
        <w:ind w:right="62"/>
        <w:rPr>
          <w:rFonts w:cs="Arial"/>
          <w:sz w:val="24"/>
        </w:rPr>
      </w:pPr>
    </w:p>
    <w:p w:rsidR="000570C0" w:rsidP="00310A88" w:rsidRDefault="00844452" w14:paraId="2064DA6C" w14:textId="77777777">
      <w:pPr>
        <w:pStyle w:val="Heading2"/>
        <w:ind w:right="62"/>
        <w:rPr>
          <w:rFonts w:cs="Arial"/>
          <w:sz w:val="24"/>
        </w:rPr>
      </w:pPr>
      <w:r w:rsidRPr="268FE394">
        <w:rPr>
          <w:rFonts w:cs="Arial"/>
          <w:sz w:val="24"/>
        </w:rPr>
        <w:t xml:space="preserve">The </w:t>
      </w:r>
      <w:r w:rsidRPr="268FE394" w:rsidR="00E10B97">
        <w:rPr>
          <w:rFonts w:cs="Arial"/>
          <w:sz w:val="24"/>
        </w:rPr>
        <w:t>PhD Opportunity</w:t>
      </w:r>
      <w:r w:rsidRPr="268FE394" w:rsidR="00F70486">
        <w:rPr>
          <w:rFonts w:cs="Arial"/>
          <w:sz w:val="24"/>
        </w:rPr>
        <w:t>:</w:t>
      </w:r>
    </w:p>
    <w:p w:rsidRPr="00423A4B" w:rsidR="00C21F2F" w:rsidP="00C21F2F" w:rsidRDefault="00C21F2F" w14:paraId="581C1D7A" w14:textId="77777777">
      <w:pPr>
        <w:rPr>
          <w:rFonts w:ascii="Arial" w:hAnsi="Arial" w:cs="Arial"/>
        </w:rPr>
      </w:pPr>
      <w:r w:rsidRPr="00423A4B">
        <w:rPr>
          <w:rFonts w:ascii="Arial" w:hAnsi="Arial" w:cs="Arial"/>
        </w:rPr>
        <w:t>This PhD proposal will give an opportunity to explore how the current NHS safe learning environment charter (SLEC) is perceived by health care students in terms of impact and support for their education in clinical practice.</w:t>
      </w:r>
    </w:p>
    <w:p w:rsidRPr="00423A4B" w:rsidR="00C21F2F" w:rsidP="00C21F2F" w:rsidRDefault="00C21F2F" w14:paraId="49A3ACA8" w14:textId="77777777">
      <w:pPr>
        <w:rPr>
          <w:rFonts w:ascii="Arial" w:hAnsi="Arial" w:cs="Arial"/>
        </w:rPr>
      </w:pPr>
    </w:p>
    <w:p w:rsidRPr="00423A4B" w:rsidR="00423A4B" w:rsidP="00C21F2F" w:rsidRDefault="00C21F2F" w14:paraId="272392FB" w14:textId="77777777">
      <w:pPr>
        <w:rPr>
          <w:rFonts w:ascii="Arial" w:hAnsi="Arial" w:cs="Arial"/>
        </w:rPr>
      </w:pPr>
      <w:r w:rsidRPr="00423A4B">
        <w:rPr>
          <w:rFonts w:ascii="Arial" w:hAnsi="Arial" w:cs="Arial"/>
        </w:rPr>
        <w:t xml:space="preserve">The charter is focused on both learners and those responsible for supporting education </w:t>
      </w:r>
      <w:r w:rsidRPr="00423A4B" w:rsidR="00423A4B">
        <w:rPr>
          <w:rFonts w:ascii="Arial" w:hAnsi="Arial" w:cs="Arial"/>
        </w:rPr>
        <w:t xml:space="preserve">and has been influenced by the Kirkup (2022) and Ockenden (2020, 2022) reports. It </w:t>
      </w:r>
      <w:r w:rsidRPr="00423A4B">
        <w:rPr>
          <w:rFonts w:ascii="Arial" w:hAnsi="Arial" w:cs="Arial"/>
        </w:rPr>
        <w:t>involv</w:t>
      </w:r>
      <w:r w:rsidRPr="00423A4B" w:rsidR="00423A4B">
        <w:rPr>
          <w:rFonts w:ascii="Arial" w:hAnsi="Arial" w:cs="Arial"/>
        </w:rPr>
        <w:t>es</w:t>
      </w:r>
      <w:r w:rsidRPr="00423A4B">
        <w:rPr>
          <w:rFonts w:ascii="Arial" w:hAnsi="Arial" w:cs="Arial"/>
        </w:rPr>
        <w:t xml:space="preserve"> ten key areas: </w:t>
      </w:r>
      <w:r w:rsidRPr="00423A4B" w:rsidR="00423A4B">
        <w:rPr>
          <w:rFonts w:ascii="Arial" w:hAnsi="Arial" w:cs="Arial"/>
        </w:rPr>
        <w:t>r</w:t>
      </w:r>
      <w:r w:rsidRPr="00423A4B">
        <w:rPr>
          <w:rFonts w:ascii="Arial" w:hAnsi="Arial" w:cs="Arial"/>
        </w:rPr>
        <w:t>espect and feeling valued;</w:t>
      </w:r>
      <w:r w:rsidRPr="00423A4B" w:rsidR="00423A4B">
        <w:rPr>
          <w:rFonts w:ascii="Arial" w:hAnsi="Arial" w:cs="Arial"/>
        </w:rPr>
        <w:t xml:space="preserve"> positive identity; wellbeing; raising concerns and speaking up; placement induction; communication; flexibility; supervision; teaching and learning needs; time and space for learning.</w:t>
      </w:r>
    </w:p>
    <w:p w:rsidRPr="00423A4B" w:rsidR="00423A4B" w:rsidP="00C21F2F" w:rsidRDefault="00423A4B" w14:paraId="1ACA7AE2" w14:textId="77777777">
      <w:pPr>
        <w:rPr>
          <w:rFonts w:ascii="Arial" w:hAnsi="Arial" w:cs="Arial"/>
        </w:rPr>
      </w:pPr>
    </w:p>
    <w:p w:rsidRPr="00423A4B" w:rsidR="00423A4B" w:rsidP="00C21F2F" w:rsidRDefault="00423A4B" w14:paraId="64D8DF74" w14:textId="77777777">
      <w:pPr>
        <w:rPr>
          <w:rFonts w:ascii="Arial" w:hAnsi="Arial" w:cs="Arial"/>
        </w:rPr>
      </w:pPr>
      <w:r w:rsidRPr="00423A4B">
        <w:rPr>
          <w:rFonts w:ascii="Arial" w:hAnsi="Arial" w:cs="Arial"/>
        </w:rPr>
        <w:t>Findings will help support the evaluation of this charter and its objectives ‘to strengthen the workforce by advancing high-quality learning environments, reducing learner attrition, and improving their retention of newly qualified staff’ (NHS 2024)</w:t>
      </w:r>
    </w:p>
    <w:p w:rsidRPr="00423A4B" w:rsidR="00423A4B" w:rsidP="00C21F2F" w:rsidRDefault="00423A4B" w14:paraId="6F015D8C" w14:textId="77777777">
      <w:pPr>
        <w:rPr>
          <w:rFonts w:ascii="Arial" w:hAnsi="Arial" w:cs="Arial"/>
        </w:rPr>
      </w:pPr>
    </w:p>
    <w:p w:rsidRPr="00423A4B" w:rsidR="00C21F2F" w:rsidP="00C21F2F" w:rsidRDefault="00423A4B" w14:paraId="226EC018" w14:textId="77777777">
      <w:pPr>
        <w:rPr>
          <w:rFonts w:ascii="Arial" w:hAnsi="Arial" w:cs="Arial"/>
        </w:rPr>
      </w:pPr>
      <w:r w:rsidRPr="00423A4B">
        <w:rPr>
          <w:rFonts w:ascii="Arial" w:hAnsi="Arial" w:cs="Arial"/>
        </w:rPr>
        <w:t>The research will</w:t>
      </w:r>
      <w:r>
        <w:rPr>
          <w:rFonts w:ascii="Arial" w:hAnsi="Arial" w:cs="Arial"/>
        </w:rPr>
        <w:t xml:space="preserve"> provide in depth data from the student voice to explore experiences and perceptions of how the charter has influenced their learning.  </w:t>
      </w:r>
      <w:r w:rsidRPr="00423A4B">
        <w:rPr>
          <w:rFonts w:ascii="Arial" w:hAnsi="Arial" w:cs="Arial"/>
        </w:rPr>
        <w:t xml:space="preserve">     </w:t>
      </w:r>
      <w:r w:rsidRPr="00423A4B" w:rsidR="00C21F2F">
        <w:rPr>
          <w:rFonts w:ascii="Arial" w:hAnsi="Arial" w:cs="Arial"/>
        </w:rPr>
        <w:t xml:space="preserve">    </w:t>
      </w:r>
    </w:p>
    <w:p w:rsidRPr="00310A88" w:rsidR="00310A88" w:rsidP="00310A88" w:rsidRDefault="00310A88" w14:paraId="0DCC127E" w14:textId="77777777"/>
    <w:p w:rsidR="17082285" w:rsidP="08F414BF" w:rsidRDefault="17082285" w14:paraId="68EE20F8" w14:textId="77777777">
      <w:pPr>
        <w:spacing w:after="160" w:line="257" w:lineRule="auto"/>
        <w:rPr>
          <w:rFonts w:ascii="Bliss 2 Regular" w:hAnsi="Bliss 2 Regular" w:eastAsia="Bliss 2 Regular" w:cs="Bliss 2 Regular"/>
          <w:i/>
          <w:iCs/>
        </w:rPr>
      </w:pPr>
      <w:r w:rsidRPr="268FE394">
        <w:rPr>
          <w:rFonts w:ascii="Arial" w:hAnsi="Arial" w:cs="Arial"/>
          <w:b/>
          <w:bCs/>
          <w:color w:val="000000" w:themeColor="text1"/>
          <w:lang w:eastAsia="en-GB"/>
        </w:rPr>
        <w:t>References</w:t>
      </w:r>
      <w:r w:rsidR="00C43808">
        <w:rPr>
          <w:rFonts w:ascii="Arial" w:hAnsi="Arial" w:cs="Arial"/>
          <w:b/>
          <w:bCs/>
          <w:color w:val="000000" w:themeColor="text1"/>
          <w:lang w:eastAsia="en-GB"/>
        </w:rPr>
        <w:t>:</w:t>
      </w:r>
      <w:r w:rsidRPr="268FE394" w:rsidR="4D15C33C">
        <w:rPr>
          <w:rFonts w:ascii="Bliss 2 Regular" w:hAnsi="Bliss 2 Regular" w:eastAsia="Bliss 2 Regular" w:cs="Bliss 2 Regular"/>
          <w:i/>
          <w:iCs/>
        </w:rPr>
        <w:t xml:space="preserve"> </w:t>
      </w:r>
    </w:p>
    <w:p w:rsidR="00FD127B" w:rsidP="00FD127B" w:rsidRDefault="00FD127B" w14:paraId="1273C8F3" w14:textId="77777777">
      <w:pPr>
        <w:shd w:val="clear" w:color="auto" w:fill="FFFFFF"/>
        <w:textAlignment w:val="baseline"/>
        <w:rPr>
          <w:rFonts w:ascii="Arial" w:hAnsi="Arial" w:eastAsia="Times New Roman" w:cs="Arial"/>
          <w:color w:val="202A30"/>
          <w:lang w:eastAsia="en-GB"/>
        </w:rPr>
      </w:pPr>
      <w:r w:rsidRPr="00FD127B">
        <w:rPr>
          <w:rFonts w:ascii="Arial" w:hAnsi="Arial" w:eastAsia="Times New Roman" w:cs="Arial"/>
          <w:color w:val="202A30"/>
          <w:lang w:eastAsia="en-GB"/>
        </w:rPr>
        <w:t>Kirkup, B. (2015). </w:t>
      </w:r>
      <w:hyperlink w:history="1" r:id="rId8">
        <w:r w:rsidRPr="00FD127B">
          <w:rPr>
            <w:rFonts w:ascii="Arial" w:hAnsi="Arial" w:eastAsia="Times New Roman" w:cs="Arial"/>
            <w:color w:val="005EB8"/>
            <w:u w:val="single"/>
            <w:bdr w:val="none" w:color="auto" w:sz="0" w:space="0" w:frame="1"/>
            <w:lang w:eastAsia="en-GB"/>
          </w:rPr>
          <w:t>The Report of the Morecambe Bay Investigation</w:t>
        </w:r>
      </w:hyperlink>
      <w:r w:rsidRPr="00FD127B">
        <w:rPr>
          <w:rFonts w:ascii="Arial" w:hAnsi="Arial" w:eastAsia="Times New Roman" w:cs="Arial"/>
          <w:color w:val="202A30"/>
          <w:lang w:eastAsia="en-GB"/>
        </w:rPr>
        <w:t>.</w:t>
      </w:r>
    </w:p>
    <w:p w:rsidRPr="00FD127B" w:rsidR="00FD127B" w:rsidP="00FD127B" w:rsidRDefault="00FD127B" w14:paraId="7EF0D99B" w14:textId="77777777">
      <w:pPr>
        <w:shd w:val="clear" w:color="auto" w:fill="FFFFFF"/>
        <w:textAlignment w:val="baseline"/>
        <w:rPr>
          <w:rFonts w:ascii="Arial" w:hAnsi="Arial" w:eastAsia="Times New Roman" w:cs="Arial"/>
          <w:color w:val="202A30"/>
          <w:lang w:eastAsia="en-GB"/>
        </w:rPr>
      </w:pPr>
    </w:p>
    <w:p w:rsidRPr="00FD127B" w:rsidR="00FD127B" w:rsidP="00FD127B" w:rsidRDefault="00FD127B" w14:paraId="78D90C83" w14:textId="77777777">
      <w:pPr>
        <w:shd w:val="clear" w:color="auto" w:fill="FFFFFF"/>
        <w:textAlignment w:val="baseline"/>
        <w:rPr>
          <w:rFonts w:ascii="Roboto" w:hAnsi="Roboto" w:eastAsia="Times New Roman" w:cs="Times New Roman"/>
          <w:color w:val="202A30"/>
          <w:sz w:val="27"/>
          <w:szCs w:val="27"/>
          <w:lang w:eastAsia="en-GB"/>
        </w:rPr>
      </w:pPr>
      <w:r w:rsidRPr="00FD127B">
        <w:rPr>
          <w:rFonts w:ascii="Arial" w:hAnsi="Arial" w:eastAsia="Times New Roman" w:cs="Arial"/>
          <w:color w:val="202A30"/>
          <w:lang w:eastAsia="en-GB"/>
        </w:rPr>
        <w:lastRenderedPageBreak/>
        <w:t>Kirkup, B. (2022). </w:t>
      </w:r>
      <w:hyperlink w:history="1" r:id="rId9">
        <w:r w:rsidRPr="00FD127B">
          <w:rPr>
            <w:rFonts w:ascii="Arial" w:hAnsi="Arial" w:eastAsia="Times New Roman" w:cs="Arial"/>
            <w:color w:val="005EB8"/>
            <w:u w:val="single"/>
            <w:bdr w:val="none" w:color="auto" w:sz="0" w:space="0" w:frame="1"/>
            <w:lang w:eastAsia="en-GB"/>
          </w:rPr>
          <w:t>Reading the signals. Maternity and neonatal services in East Kent. The Report of the Independent Investigation</w:t>
        </w:r>
      </w:hyperlink>
      <w:r w:rsidRPr="00FD127B">
        <w:rPr>
          <w:rFonts w:ascii="Roboto" w:hAnsi="Roboto" w:eastAsia="Times New Roman" w:cs="Times New Roman"/>
          <w:color w:val="202A30"/>
          <w:sz w:val="27"/>
          <w:szCs w:val="27"/>
          <w:lang w:eastAsia="en-GB"/>
        </w:rPr>
        <w:t>.</w:t>
      </w:r>
    </w:p>
    <w:p w:rsidRPr="00FD127B" w:rsidR="00FD127B" w:rsidP="08F414BF" w:rsidRDefault="00FD127B" w14:paraId="39C1EB83" w14:textId="77777777">
      <w:pPr>
        <w:spacing w:after="160" w:line="257" w:lineRule="auto"/>
        <w:rPr>
          <w:rFonts w:ascii="Bliss 2 Regular" w:hAnsi="Bliss 2 Regular" w:eastAsia="Bliss 2 Regular" w:cs="Bliss 2 Regular"/>
        </w:rPr>
      </w:pPr>
    </w:p>
    <w:p w:rsidR="00FD127B" w:rsidP="00423A4B" w:rsidRDefault="00FD127B" w14:paraId="5F74C60C" w14:textId="77777777">
      <w:pPr>
        <w:shd w:val="clear" w:color="auto" w:fill="FFFFFF"/>
        <w:textAlignment w:val="baseline"/>
        <w:rPr>
          <w:rFonts w:ascii="Arial" w:hAnsi="Arial" w:eastAsia="Times New Roman" w:cs="Arial"/>
          <w:color w:val="202A30"/>
          <w:lang w:eastAsia="en-GB"/>
        </w:rPr>
      </w:pPr>
      <w:r>
        <w:rPr>
          <w:rFonts w:ascii="Arial" w:hAnsi="Arial" w:eastAsia="Times New Roman" w:cs="Arial"/>
          <w:color w:val="202A30"/>
          <w:lang w:eastAsia="en-GB"/>
        </w:rPr>
        <w:t>NHS (2024) Safe Learning Environment Charter – what good looks like. Available at:</w:t>
      </w:r>
      <w:r w:rsidRPr="00FD127B">
        <w:t xml:space="preserve"> </w:t>
      </w:r>
      <w:hyperlink w:history="1" r:id="rId10">
        <w:r w:rsidRPr="00FD127B">
          <w:rPr>
            <w:rFonts w:ascii="Arial" w:hAnsi="Arial" w:cs="Arial"/>
            <w:color w:val="0000FF"/>
            <w:u w:val="single"/>
          </w:rPr>
          <w:t>NHS England » Safe Learning Environment Charter – what good looks like</w:t>
        </w:r>
      </w:hyperlink>
      <w:r w:rsidRPr="00FD127B">
        <w:rPr>
          <w:rFonts w:ascii="Arial" w:hAnsi="Arial" w:eastAsia="Times New Roman" w:cs="Arial"/>
          <w:color w:val="202A30"/>
          <w:lang w:eastAsia="en-GB"/>
        </w:rPr>
        <w:t xml:space="preserve"> </w:t>
      </w:r>
    </w:p>
    <w:p w:rsidRPr="00FD127B" w:rsidR="00FD127B" w:rsidP="00423A4B" w:rsidRDefault="00FD127B" w14:paraId="1DDEA2D0" w14:textId="77777777">
      <w:pPr>
        <w:shd w:val="clear" w:color="auto" w:fill="FFFFFF"/>
        <w:textAlignment w:val="baseline"/>
        <w:rPr>
          <w:rFonts w:ascii="Arial" w:hAnsi="Arial" w:eastAsia="Times New Roman" w:cs="Arial"/>
          <w:color w:val="202A30"/>
          <w:lang w:eastAsia="en-GB"/>
        </w:rPr>
      </w:pPr>
    </w:p>
    <w:p w:rsidR="00423A4B" w:rsidP="00423A4B" w:rsidRDefault="00423A4B" w14:paraId="0118C0FC" w14:textId="77777777">
      <w:pPr>
        <w:shd w:val="clear" w:color="auto" w:fill="FFFFFF"/>
        <w:textAlignment w:val="baseline"/>
        <w:rPr>
          <w:rFonts w:ascii="Arial" w:hAnsi="Arial" w:eastAsia="Times New Roman" w:cs="Arial"/>
          <w:color w:val="202A30"/>
          <w:lang w:eastAsia="en-GB"/>
        </w:rPr>
      </w:pPr>
      <w:r w:rsidRPr="00423A4B">
        <w:rPr>
          <w:rFonts w:ascii="Arial" w:hAnsi="Arial" w:eastAsia="Times New Roman" w:cs="Arial"/>
          <w:color w:val="202A30"/>
          <w:lang w:eastAsia="en-GB"/>
        </w:rPr>
        <w:t>Ockenden, D. (2020).</w:t>
      </w:r>
      <w:r w:rsidRPr="00423A4B">
        <w:rPr>
          <w:rFonts w:ascii="Arial" w:hAnsi="Arial" w:eastAsia="Times New Roman" w:cs="Arial"/>
          <w:i/>
          <w:iCs/>
          <w:color w:val="202A30"/>
          <w:bdr w:val="none" w:color="auto" w:sz="0" w:space="0" w:frame="1"/>
          <w:lang w:eastAsia="en-GB"/>
        </w:rPr>
        <w:t> </w:t>
      </w:r>
      <w:hyperlink w:history="1" r:id="rId11">
        <w:r w:rsidRPr="00423A4B">
          <w:rPr>
            <w:rFonts w:ascii="Arial" w:hAnsi="Arial" w:eastAsia="Times New Roman" w:cs="Arial"/>
            <w:color w:val="003087"/>
            <w:u w:val="single"/>
            <w:bdr w:val="none" w:color="auto" w:sz="0" w:space="0" w:frame="1"/>
            <w:lang w:eastAsia="en-GB"/>
          </w:rPr>
          <w:t>Emerging Findings and Recommendations from the Independent Review of Maternity Services at the Shrewsbury and Telford Hospital NHS Trust</w:t>
        </w:r>
      </w:hyperlink>
      <w:r w:rsidRPr="00423A4B">
        <w:rPr>
          <w:rFonts w:ascii="Arial" w:hAnsi="Arial" w:eastAsia="Times New Roman" w:cs="Arial"/>
          <w:color w:val="202A30"/>
          <w:lang w:eastAsia="en-GB"/>
        </w:rPr>
        <w:t>.</w:t>
      </w:r>
    </w:p>
    <w:p w:rsidRPr="00423A4B" w:rsidR="00FD127B" w:rsidP="00423A4B" w:rsidRDefault="00FD127B" w14:paraId="2DB03899" w14:textId="77777777">
      <w:pPr>
        <w:shd w:val="clear" w:color="auto" w:fill="FFFFFF"/>
        <w:textAlignment w:val="baseline"/>
        <w:rPr>
          <w:rFonts w:ascii="Arial" w:hAnsi="Arial" w:eastAsia="Times New Roman" w:cs="Arial"/>
          <w:color w:val="202A30"/>
          <w:lang w:eastAsia="en-GB"/>
        </w:rPr>
      </w:pPr>
    </w:p>
    <w:p w:rsidRPr="00423A4B" w:rsidR="00423A4B" w:rsidP="00423A4B" w:rsidRDefault="00423A4B" w14:paraId="5C781023" w14:textId="77777777">
      <w:pPr>
        <w:shd w:val="clear" w:color="auto" w:fill="FFFFFF"/>
        <w:textAlignment w:val="baseline"/>
        <w:rPr>
          <w:rFonts w:ascii="Arial" w:hAnsi="Arial" w:eastAsia="Times New Roman" w:cs="Arial"/>
          <w:color w:val="202A30"/>
          <w:lang w:eastAsia="en-GB"/>
        </w:rPr>
      </w:pPr>
      <w:r w:rsidRPr="00423A4B">
        <w:rPr>
          <w:rFonts w:ascii="Arial" w:hAnsi="Arial" w:eastAsia="Times New Roman" w:cs="Arial"/>
          <w:color w:val="202A30"/>
          <w:lang w:eastAsia="en-GB"/>
        </w:rPr>
        <w:t>Ockenden, D. (2022). </w:t>
      </w:r>
      <w:hyperlink w:history="1" r:id="rId12">
        <w:r w:rsidRPr="00423A4B">
          <w:rPr>
            <w:rFonts w:ascii="Arial" w:hAnsi="Arial" w:eastAsia="Times New Roman" w:cs="Arial"/>
            <w:color w:val="005EB8"/>
            <w:u w:val="single"/>
            <w:bdr w:val="none" w:color="auto" w:sz="0" w:space="0" w:frame="1"/>
            <w:lang w:eastAsia="en-GB"/>
          </w:rPr>
          <w:t>Findings, Conclusions, and Essential Actions from the Independent Review of Maternity Services at the Shrewsbury and Telford Hospital NHS Trust</w:t>
        </w:r>
      </w:hyperlink>
      <w:r w:rsidRPr="00423A4B">
        <w:rPr>
          <w:rFonts w:ascii="Arial" w:hAnsi="Arial" w:eastAsia="Times New Roman" w:cs="Arial"/>
          <w:i/>
          <w:iCs/>
          <w:color w:val="202A30"/>
          <w:bdr w:val="none" w:color="auto" w:sz="0" w:space="0" w:frame="1"/>
          <w:lang w:eastAsia="en-GB"/>
        </w:rPr>
        <w:t>.</w:t>
      </w:r>
    </w:p>
    <w:p w:rsidRPr="00423A4B" w:rsidR="00423A4B" w:rsidP="08F414BF" w:rsidRDefault="00423A4B" w14:paraId="050FE9CB" w14:textId="77777777">
      <w:pPr>
        <w:spacing w:after="160" w:line="257" w:lineRule="auto"/>
        <w:rPr>
          <w:rFonts w:ascii="Arial" w:hAnsi="Arial" w:cs="Arial"/>
          <w:b/>
          <w:bCs/>
          <w:color w:val="000000" w:themeColor="text1"/>
          <w:lang w:eastAsia="en-GB"/>
        </w:rPr>
      </w:pPr>
    </w:p>
    <w:p w:rsidR="08F414BF" w:rsidP="08F414BF" w:rsidRDefault="08F414BF" w14:paraId="4E88CF16" w14:textId="77777777">
      <w:pPr>
        <w:spacing w:after="160" w:line="257" w:lineRule="auto"/>
        <w:rPr>
          <w:rFonts w:ascii="Arial" w:hAnsi="Arial" w:eastAsia="Arial" w:cs="Arial"/>
          <w:b/>
          <w:bCs/>
          <w:color w:val="000000" w:themeColor="text1"/>
          <w:lang w:eastAsia="en-GB"/>
        </w:rPr>
      </w:pPr>
    </w:p>
    <w:p w:rsidRPr="00E65F70" w:rsidR="004B098C" w:rsidP="00E65F70" w:rsidRDefault="004B098C" w14:paraId="717D5DA0" w14:textId="77777777">
      <w:pPr>
        <w:autoSpaceDE w:val="0"/>
        <w:autoSpaceDN w:val="0"/>
        <w:adjustRightInd w:val="0"/>
        <w:rPr>
          <w:rFonts w:ascii="Arial" w:hAnsi="Arial" w:cs="Arial"/>
          <w:color w:val="000000"/>
          <w:lang w:eastAsia="en-GB"/>
        </w:rPr>
      </w:pPr>
      <w:r w:rsidRPr="00E65F70">
        <w:rPr>
          <w:rFonts w:ascii="Arial" w:hAnsi="Arial" w:cs="Arial"/>
          <w:b/>
          <w:bCs/>
          <w:color w:val="000000"/>
          <w:lang w:eastAsia="en-GB"/>
        </w:rPr>
        <w:t>Application Process:</w:t>
      </w:r>
    </w:p>
    <w:p w:rsidR="0051357D" w:rsidP="0051357D" w:rsidRDefault="004B098C" w14:paraId="717DACC5" w14:textId="27C06B5C">
      <w:pPr>
        <w:rPr>
          <w:rFonts w:ascii="Arial" w:hAnsi="Arial" w:cs="Arial"/>
        </w:rPr>
      </w:pPr>
      <w:r w:rsidRPr="268FE394">
        <w:rPr>
          <w:rFonts w:ascii="Arial" w:hAnsi="Arial" w:cs="Arial"/>
        </w:rPr>
        <w:t xml:space="preserve">To </w:t>
      </w:r>
      <w:r w:rsidRPr="268FE394" w:rsidR="00250B5C">
        <w:rPr>
          <w:rFonts w:ascii="Arial" w:hAnsi="Arial" w:cs="Arial"/>
        </w:rPr>
        <w:t xml:space="preserve">begin the </w:t>
      </w:r>
      <w:r w:rsidRPr="268FE394">
        <w:rPr>
          <w:rFonts w:ascii="Arial" w:hAnsi="Arial" w:cs="Arial"/>
        </w:rPr>
        <w:t>application</w:t>
      </w:r>
      <w:r w:rsidRPr="268FE394" w:rsidR="00250B5C">
        <w:rPr>
          <w:rFonts w:ascii="Arial" w:hAnsi="Arial" w:cs="Arial"/>
        </w:rPr>
        <w:t xml:space="preserve"> process</w:t>
      </w:r>
      <w:r w:rsidRPr="268FE394">
        <w:rPr>
          <w:rFonts w:ascii="Arial" w:hAnsi="Arial" w:cs="Arial"/>
        </w:rPr>
        <w:t xml:space="preserve"> </w:t>
      </w:r>
      <w:r w:rsidRPr="268FE394" w:rsidR="0051357D">
        <w:rPr>
          <w:rFonts w:ascii="Arial" w:hAnsi="Arial" w:cs="Arial"/>
        </w:rPr>
        <w:t xml:space="preserve">please go to </w:t>
      </w:r>
      <w:hyperlink w:history="1" r:id="rId13">
        <w:r w:rsidRPr="0080118E" w:rsidR="00537293">
          <w:rPr>
            <w:rStyle w:val="Hyperlink"/>
            <w:rFonts w:ascii="Arial" w:hAnsi="Arial" w:cs="Arial"/>
          </w:rPr>
          <w:t>https://www.worcester.ac.uk/courses/nursing-mphilphd</w:t>
        </w:r>
      </w:hyperlink>
      <w:r w:rsidR="00537293">
        <w:rPr>
          <w:rFonts w:ascii="Arial" w:hAnsi="Arial" w:cs="Arial"/>
        </w:rPr>
        <w:t xml:space="preserve"> </w:t>
      </w:r>
      <w:r w:rsidRPr="268FE394" w:rsidR="0051357D">
        <w:rPr>
          <w:rFonts w:ascii="Arial" w:hAnsi="Arial" w:cs="Arial"/>
        </w:rPr>
        <w:t xml:space="preserve">and click on ‘How to Apply’ in the top menu. This PhD could be caried out on a part time or </w:t>
      </w:r>
      <w:proofErr w:type="gramStart"/>
      <w:r w:rsidRPr="268FE394" w:rsidR="0051357D">
        <w:rPr>
          <w:rFonts w:ascii="Arial" w:hAnsi="Arial" w:cs="Arial"/>
        </w:rPr>
        <w:t>full time</w:t>
      </w:r>
      <w:proofErr w:type="gramEnd"/>
      <w:r w:rsidRPr="268FE394" w:rsidR="0051357D">
        <w:rPr>
          <w:rFonts w:ascii="Arial" w:hAnsi="Arial" w:cs="Arial"/>
        </w:rPr>
        <w:t xml:space="preserve"> basis so please select the relevant application link. On the application form, please make it clear that you are applying for one of our advertised projects so we can direct it straight to the relevant people.  </w:t>
      </w:r>
    </w:p>
    <w:p w:rsidR="0051357D" w:rsidP="004B098C" w:rsidRDefault="0051357D" w14:paraId="7D5A0643" w14:textId="77777777">
      <w:pPr>
        <w:jc w:val="both"/>
        <w:rPr>
          <w:rFonts w:ascii="Arial" w:hAnsi="Arial" w:cs="Arial"/>
        </w:rPr>
      </w:pPr>
    </w:p>
    <w:p w:rsidR="2E15E99B" w:rsidP="2E15E99B" w:rsidRDefault="2E15E99B" w14:paraId="01AF2C8F" w14:textId="77777777">
      <w:pPr>
        <w:jc w:val="both"/>
        <w:rPr>
          <w:rFonts w:ascii="Arial" w:hAnsi="Arial" w:cs="Arial"/>
        </w:rPr>
      </w:pPr>
    </w:p>
    <w:p w:rsidRPr="00F70486" w:rsidR="004B098C" w:rsidP="004B098C" w:rsidRDefault="004B098C" w14:paraId="384D12F0" w14:textId="77777777">
      <w:pPr>
        <w:autoSpaceDE w:val="0"/>
        <w:autoSpaceDN w:val="0"/>
        <w:adjustRightInd w:val="0"/>
        <w:jc w:val="both"/>
        <w:rPr>
          <w:rFonts w:ascii="Arial" w:hAnsi="Arial" w:cs="Arial"/>
          <w:b/>
          <w:bCs/>
          <w:color w:val="000000"/>
          <w:lang w:eastAsia="en-GB"/>
        </w:rPr>
      </w:pPr>
      <w:r w:rsidRPr="00F70486">
        <w:rPr>
          <w:rFonts w:ascii="Arial" w:hAnsi="Arial" w:cs="Arial"/>
          <w:b/>
          <w:bCs/>
          <w:color w:val="000000"/>
          <w:lang w:eastAsia="en-GB"/>
        </w:rPr>
        <w:t>The Interview</w:t>
      </w:r>
      <w:r w:rsidR="00F70486">
        <w:rPr>
          <w:rFonts w:ascii="Arial" w:hAnsi="Arial" w:cs="Arial"/>
          <w:b/>
          <w:bCs/>
          <w:color w:val="000000"/>
          <w:lang w:eastAsia="en-GB"/>
        </w:rPr>
        <w:t>:</w:t>
      </w:r>
    </w:p>
    <w:p w:rsidR="0051357D" w:rsidRDefault="0051357D" w14:paraId="7FDC4260" w14:textId="77777777">
      <w:pPr>
        <w:rPr>
          <w:rFonts w:ascii="Arial" w:hAnsi="Arial" w:cs="Arial"/>
          <w:color w:val="000000"/>
          <w:lang w:eastAsia="en-GB"/>
        </w:rPr>
      </w:pPr>
      <w:r>
        <w:rPr>
          <w:rFonts w:ascii="Arial" w:hAnsi="Arial" w:cs="Arial"/>
          <w:color w:val="000000"/>
          <w:lang w:eastAsia="en-GB"/>
        </w:rPr>
        <w:t xml:space="preserve">All successful applicants will be offered an interview with the proposed Supervisory Team. You will be contacted by a member of the </w:t>
      </w:r>
      <w:r w:rsidR="00733A7B">
        <w:rPr>
          <w:rFonts w:ascii="Arial" w:hAnsi="Arial" w:cs="Arial"/>
          <w:color w:val="000000"/>
          <w:lang w:eastAsia="en-GB"/>
        </w:rPr>
        <w:t>Doctoral</w:t>
      </w:r>
      <w:r>
        <w:rPr>
          <w:rFonts w:ascii="Arial" w:hAnsi="Arial" w:cs="Arial"/>
          <w:color w:val="000000"/>
          <w:lang w:eastAsia="en-GB"/>
        </w:rPr>
        <w:t xml:space="preserve"> School Team to find a suitable date. Interviews can be conducted in person or over Microsoft Teams. </w:t>
      </w:r>
    </w:p>
    <w:p w:rsidR="2E15E99B" w:rsidP="2E15E99B" w:rsidRDefault="2E15E99B" w14:paraId="3FEB4EC4" w14:textId="77777777">
      <w:pPr>
        <w:rPr>
          <w:rFonts w:ascii="Arial" w:hAnsi="Arial" w:cs="Arial"/>
          <w:b/>
          <w:bCs/>
          <w:color w:val="000000" w:themeColor="text1"/>
          <w:lang w:eastAsia="en-GB"/>
        </w:rPr>
      </w:pPr>
    </w:p>
    <w:p w:rsidR="2E15E99B" w:rsidP="2E15E99B" w:rsidRDefault="2E15E99B" w14:paraId="413992A4" w14:textId="77777777">
      <w:pPr>
        <w:rPr>
          <w:rFonts w:ascii="Arial" w:hAnsi="Arial" w:cs="Arial"/>
          <w:b/>
          <w:bCs/>
          <w:color w:val="000000" w:themeColor="text1"/>
          <w:lang w:eastAsia="en-GB"/>
        </w:rPr>
      </w:pPr>
    </w:p>
    <w:p w:rsidRPr="0051357D" w:rsidR="0051357D" w:rsidRDefault="0051357D" w14:paraId="58BB6476" w14:textId="77777777">
      <w:pPr>
        <w:rPr>
          <w:rFonts w:ascii="Arial" w:hAnsi="Arial" w:cs="Arial"/>
          <w:b/>
          <w:bCs/>
          <w:color w:val="000000"/>
          <w:lang w:eastAsia="en-GB"/>
        </w:rPr>
      </w:pPr>
      <w:r w:rsidRPr="39CCBFB8">
        <w:rPr>
          <w:rFonts w:ascii="Arial" w:hAnsi="Arial" w:cs="Arial"/>
          <w:b/>
          <w:bCs/>
          <w:color w:val="000000" w:themeColor="text1"/>
          <w:lang w:eastAsia="en-GB"/>
        </w:rPr>
        <w:t>Funding your PhD:</w:t>
      </w:r>
    </w:p>
    <w:p w:rsidR="0051357D" w:rsidP="39CCBFB8" w:rsidRDefault="0051357D" w14:paraId="2809D644" w14:textId="77777777">
      <w:pPr>
        <w:rPr>
          <w:rFonts w:ascii="Arial" w:hAnsi="Arial" w:cs="Arial"/>
          <w:color w:val="000000"/>
          <w:lang w:eastAsia="en-GB"/>
        </w:rPr>
      </w:pPr>
      <w:r w:rsidRPr="39CCBFB8">
        <w:rPr>
          <w:rFonts w:ascii="Arial" w:hAnsi="Arial" w:cs="Arial"/>
          <w:color w:val="000000" w:themeColor="text1"/>
          <w:lang w:eastAsia="en-GB"/>
        </w:rPr>
        <w:t xml:space="preserve">For information about Doctoral Loans please visit: </w:t>
      </w:r>
      <w:hyperlink r:id="rId14">
        <w:r w:rsidRPr="39CCBFB8">
          <w:rPr>
            <w:rStyle w:val="Hyperlink"/>
            <w:rFonts w:ascii="Arial" w:hAnsi="Arial" w:cs="Arial"/>
            <w:lang w:eastAsia="en-GB"/>
          </w:rPr>
          <w:t>https://www.worc.ac.uk/study/fees-and-finance/doctoral-loans.aspx</w:t>
        </w:r>
      </w:hyperlink>
      <w:r w:rsidRPr="39CCBFB8">
        <w:rPr>
          <w:rFonts w:ascii="Arial" w:hAnsi="Arial" w:cs="Arial"/>
          <w:color w:val="000000" w:themeColor="text1"/>
          <w:lang w:eastAsia="en-GB"/>
        </w:rPr>
        <w:t xml:space="preserve"> </w:t>
      </w:r>
    </w:p>
    <w:p w:rsidR="0051357D" w:rsidRDefault="0051357D" w14:paraId="1C6DA88D" w14:textId="77777777">
      <w:pPr>
        <w:rPr>
          <w:rFonts w:ascii="Arial" w:hAnsi="Arial" w:cs="Arial"/>
          <w:color w:val="000000"/>
          <w:lang w:eastAsia="en-GB"/>
        </w:rPr>
      </w:pPr>
    </w:p>
    <w:p w:rsidR="0051357D" w:rsidRDefault="0051357D" w14:paraId="35E7E564" w14:textId="77777777">
      <w:pPr>
        <w:rPr>
          <w:rFonts w:ascii="Arial" w:hAnsi="Arial" w:cs="Arial"/>
          <w:color w:val="000000"/>
          <w:lang w:eastAsia="en-GB"/>
        </w:rPr>
      </w:pPr>
      <w:r>
        <w:rPr>
          <w:rFonts w:ascii="Arial" w:hAnsi="Arial" w:cs="Arial"/>
          <w:color w:val="000000"/>
          <w:lang w:eastAsia="en-GB"/>
        </w:rPr>
        <w:t xml:space="preserve">During your PhD you can access the Research Student Support Scheme to support dissemination costs associated with your research, up to £500 a year. </w:t>
      </w:r>
    </w:p>
    <w:p w:rsidR="00B67493" w:rsidRDefault="00B67493" w14:paraId="1C5801B3" w14:textId="77777777">
      <w:pPr>
        <w:rPr>
          <w:rFonts w:ascii="Arial" w:hAnsi="Arial" w:cs="Arial"/>
          <w:color w:val="000000"/>
          <w:lang w:eastAsia="en-GB"/>
        </w:rPr>
      </w:pPr>
    </w:p>
    <w:p w:rsidR="00E65F70" w:rsidRDefault="00E65F70" w14:paraId="7745F7BB" w14:textId="77777777">
      <w:pPr>
        <w:rPr>
          <w:rFonts w:ascii="Arial" w:hAnsi="Arial" w:cs="Arial"/>
          <w:b/>
          <w:bCs/>
          <w:color w:val="000000"/>
          <w:sz w:val="22"/>
          <w:szCs w:val="22"/>
          <w:lang w:eastAsia="en-GB"/>
        </w:rPr>
      </w:pPr>
      <w:r>
        <w:rPr>
          <w:rFonts w:ascii="Arial" w:hAnsi="Arial" w:cs="Arial"/>
          <w:b/>
          <w:bCs/>
          <w:color w:val="000000"/>
          <w:sz w:val="22"/>
          <w:szCs w:val="22"/>
          <w:lang w:eastAsia="en-GB"/>
        </w:rPr>
        <w:br w:type="page"/>
      </w:r>
    </w:p>
    <w:p w:rsidR="00F70486" w:rsidP="00F70486" w:rsidRDefault="00F70486" w14:paraId="523DBA9E" w14:textId="77777777">
      <w:pPr>
        <w:rPr>
          <w:rFonts w:ascii="Arial" w:hAnsi="Arial" w:cs="Arial"/>
          <w:b/>
          <w:bCs/>
          <w:color w:val="444444"/>
          <w:lang w:eastAsia="en-GB"/>
        </w:rPr>
      </w:pPr>
      <w:r w:rsidRPr="00BB7A06">
        <w:rPr>
          <w:rFonts w:ascii="Arial" w:hAnsi="Arial" w:cs="Arial"/>
          <w:b/>
          <w:bCs/>
          <w:color w:val="444444"/>
          <w:lang w:eastAsia="en-GB"/>
        </w:rPr>
        <w:lastRenderedPageBreak/>
        <w:t>Research at the University of Worcester</w:t>
      </w:r>
    </w:p>
    <w:p w:rsidRPr="00E65F70" w:rsidR="00E65F70" w:rsidP="00F70486" w:rsidRDefault="00E65F70" w14:paraId="252D18A4" w14:textId="77777777">
      <w:pPr>
        <w:rPr>
          <w:rFonts w:ascii="Arial" w:hAnsi="Arial" w:cs="Arial"/>
          <w:b/>
          <w:bCs/>
          <w:color w:val="000000"/>
          <w:sz w:val="22"/>
          <w:szCs w:val="22"/>
          <w:lang w:eastAsia="en-GB"/>
        </w:rPr>
      </w:pPr>
    </w:p>
    <w:p w:rsidR="009C0561" w:rsidP="00F70486" w:rsidRDefault="00F70486" w14:paraId="4E170BDE" w14:textId="77777777">
      <w:pPr>
        <w:rPr>
          <w:rFonts w:ascii="Arial" w:hAnsi="Arial" w:cs="Arial"/>
          <w:color w:val="444444"/>
          <w:lang w:eastAsia="en-GB"/>
        </w:rPr>
      </w:pPr>
      <w:r w:rsidRPr="002F5428">
        <w:rPr>
          <w:rFonts w:ascii="Arial" w:hAnsi="Arial" w:cs="Arial"/>
          <w:color w:val="444444"/>
          <w:lang w:eastAsia="en-GB"/>
        </w:rPr>
        <w:t xml:space="preserve">Research </w:t>
      </w:r>
      <w:r w:rsidR="009C0561">
        <w:rPr>
          <w:rFonts w:ascii="Arial" w:hAnsi="Arial" w:cs="Arial"/>
          <w:color w:val="444444"/>
          <w:lang w:eastAsia="en-GB"/>
        </w:rPr>
        <w:t>is central to the University’s mission to make a difference</w:t>
      </w:r>
      <w:r w:rsidR="00BB7A06">
        <w:rPr>
          <w:rFonts w:ascii="Arial" w:hAnsi="Arial" w:cs="Arial"/>
          <w:color w:val="444444"/>
          <w:lang w:eastAsia="en-GB"/>
        </w:rPr>
        <w:t xml:space="preserve"> in everything that we do</w:t>
      </w:r>
      <w:r w:rsidR="009C0561">
        <w:rPr>
          <w:rFonts w:ascii="Arial" w:hAnsi="Arial" w:cs="Arial"/>
          <w:color w:val="444444"/>
          <w:lang w:eastAsia="en-GB"/>
        </w:rPr>
        <w:t xml:space="preserve">. We are committed to delivering excellent research which extends the boundaries of human </w:t>
      </w:r>
      <w:proofErr w:type="gramStart"/>
      <w:r w:rsidR="009C0561">
        <w:rPr>
          <w:rFonts w:ascii="Arial" w:hAnsi="Arial" w:cs="Arial"/>
          <w:color w:val="444444"/>
          <w:lang w:eastAsia="en-GB"/>
        </w:rPr>
        <w:t>knowledge</w:t>
      </w:r>
      <w:proofErr w:type="gramEnd"/>
      <w:r w:rsidR="009C0561">
        <w:rPr>
          <w:rFonts w:ascii="Arial" w:hAnsi="Arial" w:cs="Arial"/>
          <w:color w:val="444444"/>
          <w:lang w:eastAsia="en-GB"/>
        </w:rPr>
        <w:t xml:space="preserve"> but which also improves people’s lives by enabling better health outcomes, improving food security, developing environmentally sustainable solutions for crop production and socially sustainable solutions to our ageing population, enhancing public knowledge and understanding of the past and present.</w:t>
      </w:r>
    </w:p>
    <w:p w:rsidRPr="002F5428" w:rsidR="009C0561" w:rsidP="009C0561" w:rsidRDefault="009C0561" w14:paraId="652F17A4" w14:textId="77777777">
      <w:pPr>
        <w:spacing w:before="300" w:after="300"/>
        <w:rPr>
          <w:rFonts w:ascii="Arial" w:hAnsi="Arial" w:cs="Arial"/>
          <w:color w:val="444444"/>
          <w:lang w:eastAsia="en-GB"/>
        </w:rPr>
      </w:pPr>
      <w:r w:rsidRPr="002F5428">
        <w:rPr>
          <w:rFonts w:ascii="Arial" w:hAnsi="Arial" w:cs="Arial"/>
          <w:color w:val="444444"/>
          <w:lang w:eastAsia="en-GB"/>
        </w:rPr>
        <w:t xml:space="preserve">The University </w:t>
      </w:r>
      <w:r>
        <w:rPr>
          <w:rFonts w:ascii="Arial" w:hAnsi="Arial" w:cs="Arial"/>
          <w:color w:val="444444"/>
          <w:lang w:eastAsia="en-GB"/>
        </w:rPr>
        <w:t>hence focuses its</w:t>
      </w:r>
      <w:r w:rsidRPr="002F5428">
        <w:rPr>
          <w:rFonts w:ascii="Arial" w:hAnsi="Arial" w:cs="Arial"/>
          <w:color w:val="444444"/>
          <w:lang w:eastAsia="en-GB"/>
        </w:rPr>
        <w:t xml:space="preserve"> research </w:t>
      </w:r>
      <w:r>
        <w:rPr>
          <w:rFonts w:ascii="Arial" w:hAnsi="Arial" w:cs="Arial"/>
          <w:color w:val="444444"/>
          <w:lang w:eastAsia="en-GB"/>
        </w:rPr>
        <w:t xml:space="preserve">around five high-level challenges facing society, locally, </w:t>
      </w:r>
      <w:proofErr w:type="gramStart"/>
      <w:r>
        <w:rPr>
          <w:rFonts w:ascii="Arial" w:hAnsi="Arial" w:cs="Arial"/>
          <w:color w:val="444444"/>
          <w:lang w:eastAsia="en-GB"/>
        </w:rPr>
        <w:t>nationally</w:t>
      </w:r>
      <w:proofErr w:type="gramEnd"/>
      <w:r>
        <w:rPr>
          <w:rFonts w:ascii="Arial" w:hAnsi="Arial" w:cs="Arial"/>
          <w:color w:val="444444"/>
          <w:lang w:eastAsia="en-GB"/>
        </w:rPr>
        <w:t xml:space="preserve"> and globally</w:t>
      </w:r>
      <w:r w:rsidRPr="002F5428">
        <w:rPr>
          <w:rFonts w:ascii="Arial" w:hAnsi="Arial" w:cs="Arial"/>
          <w:color w:val="444444"/>
          <w:lang w:eastAsia="en-GB"/>
        </w:rPr>
        <w:t>:</w:t>
      </w:r>
    </w:p>
    <w:p w:rsidRPr="002F5428" w:rsidR="009C0561" w:rsidP="009C0561" w:rsidRDefault="00000000" w14:paraId="5AAAE02B"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5">
        <w:r w:rsidRPr="00E65F70" w:rsidR="009C0561">
          <w:rPr>
            <w:rStyle w:val="Hyperlink"/>
            <w:rFonts w:ascii="Arial" w:hAnsi="Arial" w:eastAsia="Times New Roman" w:cs="Arial"/>
            <w:b/>
            <w:bCs/>
            <w:lang w:eastAsia="en-GB"/>
          </w:rPr>
          <w:t>Human Health and Wellbeing</w:t>
        </w:r>
      </w:hyperlink>
      <w:r w:rsidRPr="002F5428" w:rsidR="009C0561">
        <w:rPr>
          <w:rFonts w:ascii="Arial" w:hAnsi="Arial" w:eastAsia="Times New Roman" w:cs="Arial"/>
          <w:color w:val="444444"/>
          <w:lang w:eastAsia="en-GB"/>
        </w:rPr>
        <w:t xml:space="preserve"> </w:t>
      </w:r>
    </w:p>
    <w:p w:rsidRPr="002F5428" w:rsidR="009C0561" w:rsidP="009C0561" w:rsidRDefault="00000000" w14:paraId="6866B98B"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6">
        <w:r w:rsidRPr="00E65F70" w:rsidR="009C0561">
          <w:rPr>
            <w:rStyle w:val="Hyperlink"/>
            <w:rFonts w:ascii="Arial" w:hAnsi="Arial" w:eastAsia="Times New Roman" w:cs="Arial"/>
            <w:b/>
            <w:bCs/>
            <w:lang w:eastAsia="en-GB"/>
          </w:rPr>
          <w:t>Sustainable Futures</w:t>
        </w:r>
      </w:hyperlink>
      <w:r w:rsidRPr="002F5428" w:rsidR="009C0561">
        <w:rPr>
          <w:rFonts w:ascii="Arial" w:hAnsi="Arial" w:eastAsia="Times New Roman" w:cs="Arial"/>
          <w:color w:val="444444"/>
          <w:lang w:eastAsia="en-GB"/>
        </w:rPr>
        <w:t xml:space="preserve"> </w:t>
      </w:r>
    </w:p>
    <w:p w:rsidRPr="00E65F70" w:rsidR="009C0561" w:rsidP="009C0561" w:rsidRDefault="00000000" w14:paraId="47E9073A" w14:textId="77777777">
      <w:pPr>
        <w:numPr>
          <w:ilvl w:val="0"/>
          <w:numId w:val="10"/>
        </w:numPr>
        <w:spacing w:before="100" w:beforeAutospacing="1" w:after="100" w:afterAutospacing="1"/>
        <w:rPr>
          <w:rFonts w:ascii="Arial" w:hAnsi="Arial" w:eastAsia="Times New Roman" w:cs="Arial"/>
          <w:b/>
          <w:bCs/>
          <w:color w:val="444444"/>
          <w:lang w:eastAsia="en-GB"/>
        </w:rPr>
      </w:pPr>
      <w:hyperlink w:history="1" r:id="rId17">
        <w:r w:rsidRPr="00E65F70" w:rsidR="009C0561">
          <w:rPr>
            <w:rStyle w:val="Hyperlink"/>
            <w:rFonts w:ascii="Arial" w:hAnsi="Arial" w:eastAsia="Times New Roman" w:cs="Arial"/>
            <w:b/>
            <w:bCs/>
            <w:lang w:eastAsia="en-GB"/>
          </w:rPr>
          <w:t>Digital Innovation</w:t>
        </w:r>
      </w:hyperlink>
    </w:p>
    <w:p w:rsidRPr="00E65F70" w:rsidR="009C0561" w:rsidP="009C0561" w:rsidRDefault="00000000" w14:paraId="51C70DF7"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8">
        <w:r w:rsidRPr="00E65F70" w:rsidR="009C0561">
          <w:rPr>
            <w:rStyle w:val="Hyperlink"/>
            <w:rFonts w:ascii="Arial" w:hAnsi="Arial" w:eastAsia="Times New Roman" w:cs="Arial"/>
            <w:b/>
            <w:bCs/>
            <w:lang w:eastAsia="en-GB"/>
          </w:rPr>
          <w:t>Culture, Identity and Social Exclusion</w:t>
        </w:r>
      </w:hyperlink>
      <w:r w:rsidRPr="002F5428" w:rsidR="009C0561">
        <w:rPr>
          <w:rFonts w:ascii="Arial" w:hAnsi="Arial" w:eastAsia="Times New Roman" w:cs="Arial"/>
          <w:color w:val="444444"/>
          <w:lang w:eastAsia="en-GB"/>
        </w:rPr>
        <w:t> </w:t>
      </w:r>
    </w:p>
    <w:p w:rsidRPr="00E65F70" w:rsidR="009C0561" w:rsidP="009C0561" w:rsidRDefault="00000000" w14:paraId="5C6FAB06"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9">
        <w:r w:rsidRPr="00E65F70" w:rsidR="009C0561">
          <w:rPr>
            <w:rStyle w:val="Hyperlink"/>
            <w:rFonts w:ascii="Arial" w:hAnsi="Arial" w:eastAsia="Times New Roman" w:cs="Arial"/>
            <w:b/>
            <w:bCs/>
            <w:lang w:eastAsia="en-GB"/>
          </w:rPr>
          <w:t>Professional Education</w:t>
        </w:r>
      </w:hyperlink>
      <w:r w:rsidRPr="002F5428" w:rsidR="009C0561">
        <w:rPr>
          <w:rFonts w:ascii="Arial" w:hAnsi="Arial" w:eastAsia="Times New Roman" w:cs="Arial"/>
          <w:color w:val="444444"/>
          <w:lang w:eastAsia="en-GB"/>
        </w:rPr>
        <w:t xml:space="preserve"> </w:t>
      </w:r>
      <w:r w:rsidRPr="00E65F70" w:rsidR="009C0561">
        <w:rPr>
          <w:rFonts w:ascii="Arial" w:hAnsi="Arial" w:eastAsia="Times New Roman" w:cs="Arial"/>
          <w:color w:val="444444"/>
          <w:lang w:eastAsia="en-GB"/>
        </w:rPr>
        <w:t> </w:t>
      </w:r>
    </w:p>
    <w:p w:rsidR="009C0561" w:rsidP="00F70486" w:rsidRDefault="009C0561" w14:paraId="4300ED68" w14:textId="77777777">
      <w:pPr>
        <w:rPr>
          <w:rFonts w:ascii="Arial" w:hAnsi="Arial" w:cs="Arial"/>
          <w:color w:val="444444"/>
          <w:lang w:eastAsia="en-GB"/>
        </w:rPr>
      </w:pPr>
      <w:r>
        <w:rPr>
          <w:rFonts w:ascii="Arial" w:hAnsi="Arial" w:cs="Arial"/>
          <w:color w:val="444444"/>
          <w:lang w:eastAsia="en-GB"/>
        </w:rPr>
        <w:t>The success of our research is reflected in our continuous improvement in external research assessment processes. I</w:t>
      </w:r>
      <w:r w:rsidR="00BB7A06">
        <w:rPr>
          <w:rFonts w:ascii="Arial" w:hAnsi="Arial" w:cs="Arial"/>
          <w:color w:val="444444"/>
          <w:lang w:eastAsia="en-GB"/>
        </w:rPr>
        <w:t>n</w:t>
      </w:r>
      <w:r>
        <w:rPr>
          <w:rFonts w:ascii="Arial" w:hAnsi="Arial" w:cs="Arial"/>
          <w:color w:val="444444"/>
          <w:lang w:eastAsia="en-GB"/>
        </w:rPr>
        <w:t xml:space="preserve"> the most recent Research Excellence Framework, REF 2021, the University </w:t>
      </w:r>
      <w:r w:rsidR="00BB7A06">
        <w:rPr>
          <w:rFonts w:ascii="Arial" w:hAnsi="Arial" w:cs="Arial"/>
          <w:color w:val="444444"/>
          <w:lang w:eastAsia="en-GB"/>
        </w:rPr>
        <w:t>saw a near 50% increase in the scale of its research and 12% increase in quality, building on its performance in REF 2014 when it was the UK’s most improved university in terms of Research Power, a combination of scale and quality.</w:t>
      </w:r>
    </w:p>
    <w:p w:rsidR="009C0561" w:rsidP="00F70486" w:rsidRDefault="009C0561" w14:paraId="15A07BA9" w14:textId="77777777">
      <w:pPr>
        <w:rPr>
          <w:rFonts w:ascii="Arial" w:hAnsi="Arial" w:cs="Arial"/>
          <w:color w:val="444444"/>
          <w:lang w:eastAsia="en-GB"/>
        </w:rPr>
      </w:pPr>
    </w:p>
    <w:p w:rsidRPr="00BB7A06" w:rsidR="002F5428" w:rsidP="00F70486" w:rsidRDefault="00BB7A06" w14:paraId="48B4C3CF" w14:textId="77777777">
      <w:pPr>
        <w:rPr>
          <w:rFonts w:ascii="Arial" w:hAnsi="Arial" w:cs="Arial"/>
          <w:b/>
          <w:bCs/>
          <w:color w:val="444444"/>
          <w:lang w:eastAsia="en-GB"/>
        </w:rPr>
      </w:pPr>
      <w:r w:rsidRPr="00BB7A06">
        <w:rPr>
          <w:rFonts w:ascii="Arial" w:hAnsi="Arial" w:cs="Arial"/>
          <w:b/>
          <w:bCs/>
          <w:color w:val="444444"/>
          <w:lang w:eastAsia="en-GB"/>
        </w:rPr>
        <w:t>Research Degrees at Worcester</w:t>
      </w:r>
    </w:p>
    <w:p w:rsidR="00BB7A06" w:rsidP="00F70486" w:rsidRDefault="00BB7A06" w14:paraId="59C8A5A1" w14:textId="77777777">
      <w:pPr>
        <w:rPr>
          <w:rFonts w:ascii="Arial" w:hAnsi="Arial" w:cs="Arial"/>
          <w:color w:val="444444"/>
          <w:lang w:eastAsia="en-GB"/>
        </w:rPr>
      </w:pPr>
    </w:p>
    <w:p w:rsidR="00BB7A06" w:rsidP="00F70486" w:rsidRDefault="00BB7A06" w14:paraId="0186EBA2" w14:textId="77777777">
      <w:pPr>
        <w:rPr>
          <w:rFonts w:ascii="Arial" w:hAnsi="Arial" w:cs="Arial"/>
          <w:color w:val="444444"/>
          <w:lang w:eastAsia="en-GB"/>
        </w:rPr>
      </w:pPr>
      <w:r>
        <w:rPr>
          <w:rFonts w:ascii="Arial" w:hAnsi="Arial" w:cs="Arial"/>
          <w:color w:val="444444"/>
          <w:lang w:eastAsia="en-GB"/>
        </w:rPr>
        <w:t>Our research students are central to our overall mission for research. They are working at the cutting edge of their disciplines and driving forward the quality of our research whilst enriching our research culture. We are looking to increase our research student numbers as a strategic imperative.</w:t>
      </w:r>
    </w:p>
    <w:p w:rsidR="00BB7A06" w:rsidP="00F70486" w:rsidRDefault="00BB7A06" w14:paraId="300A46AC" w14:textId="77777777">
      <w:pPr>
        <w:rPr>
          <w:rFonts w:ascii="Arial" w:hAnsi="Arial" w:cs="Arial"/>
          <w:color w:val="444444"/>
          <w:lang w:eastAsia="en-GB"/>
        </w:rPr>
      </w:pPr>
    </w:p>
    <w:p w:rsidR="00E87204" w:rsidP="004B098C" w:rsidRDefault="00BB7A06" w14:paraId="1545FD65" w14:textId="77777777">
      <w:pPr>
        <w:rPr>
          <w:rFonts w:ascii="Arial" w:hAnsi="Arial" w:cs="Arial"/>
          <w:bCs/>
          <w:color w:val="000000"/>
          <w:lang w:eastAsia="en-GB"/>
        </w:rPr>
      </w:pPr>
      <w:r>
        <w:rPr>
          <w:rFonts w:ascii="Arial" w:hAnsi="Arial" w:cs="Arial"/>
          <w:color w:val="444444"/>
          <w:lang w:eastAsia="en-GB"/>
        </w:rPr>
        <w:t>Our commitment to our students is reflected in the results of the Postgraduate Research Experience Survey 2023 in which we ranked 3</w:t>
      </w:r>
      <w:r w:rsidRPr="00BB7A06">
        <w:rPr>
          <w:rFonts w:ascii="Arial" w:hAnsi="Arial" w:cs="Arial"/>
          <w:color w:val="444444"/>
          <w:vertAlign w:val="superscript"/>
          <w:lang w:eastAsia="en-GB"/>
        </w:rPr>
        <w:t>rd</w:t>
      </w:r>
      <w:r>
        <w:rPr>
          <w:rFonts w:ascii="Arial" w:hAnsi="Arial" w:cs="Arial"/>
          <w:color w:val="444444"/>
          <w:lang w:eastAsia="en-GB"/>
        </w:rPr>
        <w:t xml:space="preserve"> for overall research student satisfaction nationally</w:t>
      </w:r>
      <w:r w:rsidR="00E87204">
        <w:rPr>
          <w:rFonts w:ascii="Arial" w:hAnsi="Arial" w:cs="Arial"/>
          <w:color w:val="444444"/>
          <w:lang w:eastAsia="en-GB"/>
        </w:rPr>
        <w:t xml:space="preserve">. Key to our success in his area is the </w:t>
      </w:r>
      <w:r w:rsidR="00733A7B">
        <w:rPr>
          <w:rFonts w:ascii="Arial" w:hAnsi="Arial" w:cs="Arial"/>
          <w:color w:val="444444"/>
          <w:lang w:eastAsia="en-GB"/>
        </w:rPr>
        <w:t>Doctoral</w:t>
      </w:r>
      <w:r w:rsidR="00E87204">
        <w:rPr>
          <w:rFonts w:ascii="Arial" w:hAnsi="Arial" w:cs="Arial"/>
          <w:color w:val="444444"/>
          <w:lang w:eastAsia="en-GB"/>
        </w:rPr>
        <w:t xml:space="preserve"> School, </w:t>
      </w:r>
      <w:r w:rsidRPr="00F70486" w:rsidR="004B098C">
        <w:rPr>
          <w:rFonts w:ascii="Arial" w:hAnsi="Arial" w:cs="Arial"/>
          <w:bCs/>
          <w:color w:val="000000"/>
          <w:lang w:eastAsia="en-GB"/>
        </w:rPr>
        <w:t>a focal point for all our research students.</w:t>
      </w:r>
    </w:p>
    <w:p w:rsidR="00E87204" w:rsidP="004B098C" w:rsidRDefault="00E87204" w14:paraId="3916C08E" w14:textId="77777777">
      <w:pPr>
        <w:rPr>
          <w:rFonts w:ascii="Arial" w:hAnsi="Arial" w:cs="Arial"/>
          <w:bCs/>
          <w:color w:val="000000"/>
          <w:lang w:eastAsia="en-GB"/>
        </w:rPr>
      </w:pPr>
    </w:p>
    <w:p w:rsidRPr="00E87204" w:rsidR="004B098C" w:rsidP="004B098C" w:rsidRDefault="004B098C" w14:paraId="38E5D3E7" w14:textId="77777777">
      <w:pPr>
        <w:rPr>
          <w:rFonts w:ascii="Arial" w:hAnsi="Arial" w:cs="Arial"/>
          <w:color w:val="444444"/>
          <w:lang w:eastAsia="en-GB"/>
        </w:rPr>
      </w:pPr>
      <w:r w:rsidRPr="00F70486">
        <w:rPr>
          <w:rFonts w:ascii="Arial" w:hAnsi="Arial" w:cs="Arial"/>
          <w:bCs/>
          <w:color w:val="000000"/>
          <w:lang w:eastAsia="en-GB"/>
        </w:rPr>
        <w:t>It provides:</w:t>
      </w:r>
    </w:p>
    <w:p w:rsidRPr="00F70486" w:rsidR="004B098C" w:rsidP="004B098C" w:rsidRDefault="004B098C" w14:paraId="63FF0BA6" w14:textId="77777777">
      <w:pPr>
        <w:pStyle w:val="ListParagraph"/>
        <w:numPr>
          <w:ilvl w:val="0"/>
          <w:numId w:val="6"/>
        </w:numPr>
        <w:rPr>
          <w:rFonts w:ascii="Arial" w:hAnsi="Arial" w:cs="Arial"/>
          <w:bCs/>
          <w:color w:val="000000"/>
          <w:lang w:eastAsia="en-GB"/>
        </w:rPr>
      </w:pPr>
      <w:r w:rsidRPr="00F70486">
        <w:rPr>
          <w:rFonts w:ascii="Arial" w:hAnsi="Arial" w:cs="Arial"/>
          <w:bCs/>
          <w:color w:val="000000"/>
          <w:lang w:eastAsia="en-GB"/>
        </w:rPr>
        <w:t>day-to-day support for our students, both administrative and practical, through our dedicated team</w:t>
      </w:r>
    </w:p>
    <w:p w:rsidRPr="00F70486" w:rsidR="004B098C" w:rsidP="004B098C" w:rsidRDefault="004B098C" w14:paraId="4A6ECB20" w14:textId="77777777">
      <w:pPr>
        <w:pStyle w:val="ListParagraph"/>
        <w:numPr>
          <w:ilvl w:val="0"/>
          <w:numId w:val="6"/>
        </w:numPr>
        <w:rPr>
          <w:rFonts w:ascii="Arial" w:hAnsi="Arial" w:cs="Arial"/>
          <w:bCs/>
          <w:color w:val="000000"/>
          <w:lang w:eastAsia="en-GB"/>
        </w:rPr>
      </w:pPr>
      <w:r w:rsidRPr="00F70486">
        <w:rPr>
          <w:rFonts w:ascii="Arial" w:hAnsi="Arial" w:cs="Arial"/>
          <w:bCs/>
          <w:color w:val="000000"/>
          <w:lang w:eastAsia="en-GB"/>
        </w:rPr>
        <w:t xml:space="preserve">a Research Student Study Space with both PCs and laptop docking </w:t>
      </w:r>
      <w:proofErr w:type="gramStart"/>
      <w:r w:rsidRPr="00F70486">
        <w:rPr>
          <w:rFonts w:ascii="Arial" w:hAnsi="Arial" w:cs="Arial"/>
          <w:bCs/>
          <w:color w:val="000000"/>
          <w:lang w:eastAsia="en-GB"/>
        </w:rPr>
        <w:t>station</w:t>
      </w:r>
      <w:proofErr w:type="gramEnd"/>
    </w:p>
    <w:p w:rsidRPr="00F70486" w:rsidR="004B098C" w:rsidP="004B098C" w:rsidRDefault="004B098C" w14:paraId="17737314" w14:textId="77777777">
      <w:pPr>
        <w:pStyle w:val="ListParagraph"/>
        <w:numPr>
          <w:ilvl w:val="0"/>
          <w:numId w:val="6"/>
        </w:numPr>
        <w:rPr>
          <w:rFonts w:ascii="Arial" w:hAnsi="Arial" w:cs="Arial"/>
          <w:bCs/>
          <w:color w:val="000000"/>
          <w:lang w:eastAsia="en-GB"/>
        </w:rPr>
      </w:pPr>
      <w:r w:rsidRPr="00F70486">
        <w:rPr>
          <w:rFonts w:ascii="Arial" w:hAnsi="Arial" w:cs="Arial"/>
          <w:bCs/>
          <w:color w:val="000000"/>
          <w:lang w:eastAsia="en-GB"/>
        </w:rPr>
        <w:t>a comprehensive Researcher Development Programme for students and their supervisors</w:t>
      </w:r>
    </w:p>
    <w:p w:rsidR="00B81E0E" w:rsidP="004B098C" w:rsidRDefault="004B098C" w14:paraId="431281AF" w14:textId="77777777">
      <w:pPr>
        <w:pStyle w:val="ListParagraph"/>
        <w:numPr>
          <w:ilvl w:val="0"/>
          <w:numId w:val="6"/>
        </w:numPr>
        <w:rPr>
          <w:rFonts w:ascii="Arial" w:hAnsi="Arial" w:cs="Arial"/>
          <w:bCs/>
          <w:color w:val="000000"/>
          <w:lang w:eastAsia="en-GB"/>
        </w:rPr>
      </w:pPr>
      <w:r w:rsidRPr="00F70486">
        <w:rPr>
          <w:rFonts w:ascii="Arial" w:hAnsi="Arial" w:cs="Arial"/>
          <w:bCs/>
          <w:color w:val="000000"/>
          <w:lang w:eastAsia="en-GB"/>
        </w:rPr>
        <w:t>a programme of student-led conferences and seminars</w:t>
      </w:r>
    </w:p>
    <w:p w:rsidR="006C2625" w:rsidRDefault="006C2625" w14:paraId="3805F1FD" w14:textId="77777777">
      <w:pPr>
        <w:rPr>
          <w:rFonts w:ascii="Arial" w:hAnsi="Arial" w:cs="Arial"/>
          <w:bCs/>
          <w:color w:val="000000"/>
          <w:lang w:eastAsia="en-GB"/>
        </w:rPr>
      </w:pPr>
      <w:r>
        <w:rPr>
          <w:rFonts w:ascii="Arial" w:hAnsi="Arial" w:cs="Arial"/>
          <w:bCs/>
          <w:color w:val="000000"/>
          <w:lang w:eastAsia="en-GB"/>
        </w:rPr>
        <w:br w:type="page"/>
      </w:r>
    </w:p>
    <w:p w:rsidR="00970228" w:rsidP="2E15E99B" w:rsidRDefault="00E10B97" w14:paraId="57214176" w14:textId="77777777">
      <w:pPr>
        <w:rPr>
          <w:rFonts w:ascii="Arial" w:hAnsi="Arial" w:cs="Arial"/>
          <w:b/>
          <w:bCs/>
          <w:color w:val="000000"/>
          <w:lang w:eastAsia="en-GB"/>
        </w:rPr>
      </w:pPr>
      <w:r w:rsidRPr="2E15E99B">
        <w:rPr>
          <w:rFonts w:ascii="Arial" w:hAnsi="Arial" w:cs="Arial"/>
          <w:b/>
          <w:bCs/>
          <w:color w:val="000000" w:themeColor="text1"/>
          <w:lang w:eastAsia="en-GB"/>
        </w:rPr>
        <w:lastRenderedPageBreak/>
        <w:t>Research Group</w:t>
      </w:r>
    </w:p>
    <w:p w:rsidR="00C95979" w:rsidP="00970228" w:rsidRDefault="00C95979" w14:paraId="31D941CE" w14:textId="77777777">
      <w:pPr>
        <w:pStyle w:val="NormalWeb"/>
        <w:shd w:val="clear" w:color="auto" w:fill="FFFFFF"/>
        <w:spacing w:before="0" w:beforeAutospacing="0" w:after="0" w:afterAutospacing="0" w:line="240" w:lineRule="auto"/>
        <w:jc w:val="both"/>
        <w:rPr>
          <w:rFonts w:ascii="Arial" w:hAnsi="Arial" w:cs="Arial"/>
          <w:b/>
          <w:bCs/>
          <w:color w:val="333333"/>
          <w:sz w:val="24"/>
          <w:szCs w:val="24"/>
        </w:rPr>
      </w:pPr>
    </w:p>
    <w:p w:rsidRPr="00970228" w:rsidR="00F712AB" w:rsidP="00F712AB" w:rsidRDefault="04EBA00F" w14:paraId="76BE51ED" w14:textId="77777777">
      <w:pPr>
        <w:jc w:val="both"/>
        <w:rPr>
          <w:rFonts w:ascii="Arial" w:hAnsi="Arial" w:cs="Arial"/>
        </w:rPr>
      </w:pPr>
      <w:r w:rsidRPr="19E0A1AE">
        <w:rPr>
          <w:rFonts w:ascii="Arial" w:hAnsi="Arial" w:cs="Arial"/>
        </w:rPr>
        <w:t>Health Professions Education and Practice</w:t>
      </w:r>
    </w:p>
    <w:p w:rsidRPr="00970228" w:rsidR="00F712AB" w:rsidP="00F712AB" w:rsidRDefault="00F712AB" w14:paraId="7E59E5FB" w14:textId="77777777">
      <w:pPr>
        <w:jc w:val="both"/>
        <w:rPr>
          <w:rFonts w:ascii="Arial" w:hAnsi="Arial" w:cs="Arial"/>
        </w:rPr>
      </w:pPr>
    </w:p>
    <w:p w:rsidRPr="0051357D" w:rsidR="004B098C" w:rsidP="004B098C" w:rsidRDefault="004B098C" w14:paraId="59D8DC2C" w14:textId="77777777">
      <w:pPr>
        <w:autoSpaceDE w:val="0"/>
        <w:autoSpaceDN w:val="0"/>
        <w:adjustRightInd w:val="0"/>
        <w:jc w:val="both"/>
        <w:rPr>
          <w:rFonts w:ascii="Arial" w:hAnsi="Arial" w:cs="Arial"/>
          <w:b/>
          <w:bCs/>
          <w:color w:val="000000"/>
          <w:lang w:eastAsia="en-GB"/>
        </w:rPr>
      </w:pPr>
      <w:r w:rsidRPr="0051357D">
        <w:rPr>
          <w:rFonts w:ascii="Arial" w:hAnsi="Arial" w:cs="Arial"/>
          <w:b/>
          <w:bCs/>
          <w:color w:val="000000"/>
          <w:lang w:eastAsia="en-GB"/>
        </w:rPr>
        <w:t>Widening Participation:</w:t>
      </w:r>
    </w:p>
    <w:p w:rsidRPr="00F70486" w:rsidR="004B098C" w:rsidP="004B098C" w:rsidRDefault="004B098C" w14:paraId="6F8365EA" w14:textId="77777777">
      <w:pPr>
        <w:autoSpaceDE w:val="0"/>
        <w:autoSpaceDN w:val="0"/>
        <w:adjustRightInd w:val="0"/>
        <w:jc w:val="both"/>
        <w:rPr>
          <w:rFonts w:ascii="Arial" w:hAnsi="Arial" w:cs="Arial"/>
          <w:color w:val="000000"/>
          <w:lang w:eastAsia="en-GB"/>
        </w:rPr>
      </w:pPr>
      <w:r w:rsidRPr="0051357D">
        <w:rPr>
          <w:rFonts w:ascii="Arial" w:hAnsi="Arial" w:cs="Arial"/>
          <w:color w:val="000000"/>
          <w:lang w:eastAsia="en-GB"/>
        </w:rPr>
        <w:t xml:space="preserve">As part of its mission statement the University is committed to widening participation for its higher degrees. Although most candidates will have an undergraduate and/or a </w:t>
      </w:r>
      <w:proofErr w:type="spellStart"/>
      <w:proofErr w:type="gramStart"/>
      <w:r w:rsidRPr="0051357D">
        <w:rPr>
          <w:rFonts w:ascii="Arial" w:hAnsi="Arial" w:cs="Arial"/>
          <w:color w:val="000000"/>
          <w:lang w:eastAsia="en-GB"/>
        </w:rPr>
        <w:t>Masters</w:t>
      </w:r>
      <w:proofErr w:type="spellEnd"/>
      <w:proofErr w:type="gramEnd"/>
      <w:r w:rsidRPr="0051357D">
        <w:rPr>
          <w:rFonts w:ascii="Arial" w:hAnsi="Arial" w:cs="Arial"/>
          <w:color w:val="000000"/>
          <w:lang w:eastAsia="en-GB"/>
        </w:rPr>
        <w:t xml:space="preserve"> degree, the University is happy to accept applications from candidates with relevant professional qualifications and work related experience.</w:t>
      </w:r>
      <w:r w:rsidRPr="00F70486">
        <w:rPr>
          <w:rFonts w:ascii="Arial" w:hAnsi="Arial" w:cs="Arial"/>
          <w:color w:val="000000"/>
          <w:lang w:eastAsia="en-GB"/>
        </w:rPr>
        <w:t xml:space="preserve"> </w:t>
      </w:r>
    </w:p>
    <w:p w:rsidRPr="00F70486" w:rsidR="00B234DB" w:rsidP="004B098C" w:rsidRDefault="00B234DB" w14:paraId="1EE9AB5C" w14:textId="77777777">
      <w:pPr>
        <w:autoSpaceDE w:val="0"/>
        <w:autoSpaceDN w:val="0"/>
        <w:adjustRightInd w:val="0"/>
        <w:jc w:val="both"/>
        <w:rPr>
          <w:rFonts w:ascii="Arial" w:hAnsi="Arial" w:cs="Arial"/>
          <w:color w:val="000000"/>
          <w:lang w:eastAsia="en-GB"/>
        </w:rPr>
      </w:pPr>
    </w:p>
    <w:p w:rsidR="00B234DB" w:rsidP="004B098C" w:rsidRDefault="00B234DB" w14:paraId="055FAAE3" w14:textId="77777777">
      <w:pPr>
        <w:autoSpaceDE w:val="0"/>
        <w:autoSpaceDN w:val="0"/>
        <w:adjustRightInd w:val="0"/>
        <w:jc w:val="both"/>
        <w:rPr>
          <w:rFonts w:ascii="Arial" w:hAnsi="Arial" w:cs="Arial"/>
          <w:color w:val="000000"/>
          <w:lang w:eastAsia="en-GB"/>
        </w:rPr>
      </w:pPr>
    </w:p>
    <w:p w:rsidR="0026070F" w:rsidP="004B098C" w:rsidRDefault="0026070F" w14:paraId="3516C73B" w14:textId="77777777">
      <w:pPr>
        <w:autoSpaceDE w:val="0"/>
        <w:autoSpaceDN w:val="0"/>
        <w:adjustRightInd w:val="0"/>
        <w:jc w:val="both"/>
        <w:rPr>
          <w:rFonts w:ascii="Arial" w:hAnsi="Arial" w:cs="Arial"/>
          <w:color w:val="000000"/>
          <w:lang w:eastAsia="en-GB"/>
        </w:rPr>
      </w:pPr>
    </w:p>
    <w:p w:rsidR="0026070F" w:rsidP="004B098C" w:rsidRDefault="0026070F" w14:paraId="1F8543B6" w14:textId="77777777">
      <w:pPr>
        <w:autoSpaceDE w:val="0"/>
        <w:autoSpaceDN w:val="0"/>
        <w:adjustRightInd w:val="0"/>
        <w:jc w:val="both"/>
        <w:rPr>
          <w:rFonts w:ascii="Arial" w:hAnsi="Arial" w:cs="Arial"/>
          <w:color w:val="000000"/>
          <w:lang w:eastAsia="en-GB"/>
        </w:rPr>
      </w:pPr>
    </w:p>
    <w:p w:rsidR="0026070F" w:rsidP="004B098C" w:rsidRDefault="0026070F" w14:paraId="0AD9794D" w14:textId="77777777">
      <w:pPr>
        <w:autoSpaceDE w:val="0"/>
        <w:autoSpaceDN w:val="0"/>
        <w:adjustRightInd w:val="0"/>
        <w:jc w:val="both"/>
        <w:rPr>
          <w:rFonts w:ascii="Arial" w:hAnsi="Arial" w:cs="Arial"/>
          <w:color w:val="000000"/>
          <w:lang w:eastAsia="en-GB"/>
        </w:rPr>
      </w:pPr>
    </w:p>
    <w:p w:rsidR="0026070F" w:rsidP="004B098C" w:rsidRDefault="0026070F" w14:paraId="68AFD92F" w14:textId="77777777">
      <w:pPr>
        <w:autoSpaceDE w:val="0"/>
        <w:autoSpaceDN w:val="0"/>
        <w:adjustRightInd w:val="0"/>
        <w:jc w:val="both"/>
        <w:rPr>
          <w:rFonts w:ascii="Arial" w:hAnsi="Arial" w:cs="Arial"/>
          <w:color w:val="000000"/>
          <w:lang w:eastAsia="en-GB"/>
        </w:rPr>
      </w:pPr>
    </w:p>
    <w:p w:rsidR="0026070F" w:rsidP="004B098C" w:rsidRDefault="0026070F" w14:paraId="566D5F4B" w14:textId="77777777">
      <w:pPr>
        <w:autoSpaceDE w:val="0"/>
        <w:autoSpaceDN w:val="0"/>
        <w:adjustRightInd w:val="0"/>
        <w:jc w:val="both"/>
        <w:rPr>
          <w:rFonts w:ascii="Arial" w:hAnsi="Arial" w:cs="Arial"/>
          <w:color w:val="000000"/>
          <w:lang w:eastAsia="en-GB"/>
        </w:rPr>
      </w:pPr>
    </w:p>
    <w:p w:rsidR="0026070F" w:rsidP="004B098C" w:rsidRDefault="0026070F" w14:paraId="031D4595" w14:textId="77777777">
      <w:pPr>
        <w:autoSpaceDE w:val="0"/>
        <w:autoSpaceDN w:val="0"/>
        <w:adjustRightInd w:val="0"/>
        <w:jc w:val="both"/>
        <w:rPr>
          <w:rFonts w:ascii="Arial" w:hAnsi="Arial" w:cs="Arial"/>
          <w:color w:val="000000"/>
          <w:lang w:eastAsia="en-GB"/>
        </w:rPr>
      </w:pPr>
    </w:p>
    <w:p w:rsidR="0026070F" w:rsidP="004B098C" w:rsidRDefault="0026070F" w14:paraId="3094DDD9" w14:textId="77777777">
      <w:pPr>
        <w:autoSpaceDE w:val="0"/>
        <w:autoSpaceDN w:val="0"/>
        <w:adjustRightInd w:val="0"/>
        <w:jc w:val="both"/>
        <w:rPr>
          <w:rFonts w:ascii="Arial" w:hAnsi="Arial" w:cs="Arial"/>
          <w:color w:val="000000"/>
          <w:lang w:eastAsia="en-GB"/>
        </w:rPr>
      </w:pPr>
    </w:p>
    <w:p w:rsidR="0026070F" w:rsidP="004B098C" w:rsidRDefault="0026070F" w14:paraId="260A9E60" w14:textId="77777777">
      <w:pPr>
        <w:autoSpaceDE w:val="0"/>
        <w:autoSpaceDN w:val="0"/>
        <w:adjustRightInd w:val="0"/>
        <w:jc w:val="both"/>
        <w:rPr>
          <w:rFonts w:ascii="Arial" w:hAnsi="Arial" w:cs="Arial"/>
          <w:color w:val="000000"/>
          <w:lang w:eastAsia="en-GB"/>
        </w:rPr>
      </w:pPr>
    </w:p>
    <w:p w:rsidR="0026070F" w:rsidP="004B098C" w:rsidRDefault="0026070F" w14:paraId="10457977" w14:textId="77777777">
      <w:pPr>
        <w:autoSpaceDE w:val="0"/>
        <w:autoSpaceDN w:val="0"/>
        <w:adjustRightInd w:val="0"/>
        <w:jc w:val="both"/>
        <w:rPr>
          <w:rFonts w:ascii="Arial" w:hAnsi="Arial" w:cs="Arial"/>
          <w:color w:val="000000"/>
          <w:lang w:eastAsia="en-GB"/>
        </w:rPr>
      </w:pPr>
    </w:p>
    <w:p w:rsidR="0026070F" w:rsidP="004B098C" w:rsidRDefault="0026070F" w14:paraId="56AC3647" w14:textId="77777777">
      <w:pPr>
        <w:autoSpaceDE w:val="0"/>
        <w:autoSpaceDN w:val="0"/>
        <w:adjustRightInd w:val="0"/>
        <w:jc w:val="both"/>
        <w:rPr>
          <w:rFonts w:ascii="Arial" w:hAnsi="Arial" w:cs="Arial"/>
          <w:color w:val="000000"/>
          <w:lang w:eastAsia="en-GB"/>
        </w:rPr>
      </w:pPr>
    </w:p>
    <w:p w:rsidR="0026070F" w:rsidP="004B098C" w:rsidRDefault="0026070F" w14:paraId="6C74EED2" w14:textId="77777777">
      <w:pPr>
        <w:autoSpaceDE w:val="0"/>
        <w:autoSpaceDN w:val="0"/>
        <w:adjustRightInd w:val="0"/>
        <w:jc w:val="both"/>
        <w:rPr>
          <w:rFonts w:ascii="Arial" w:hAnsi="Arial" w:cs="Arial"/>
          <w:color w:val="000000"/>
          <w:lang w:eastAsia="en-GB"/>
        </w:rPr>
      </w:pPr>
    </w:p>
    <w:p w:rsidR="0026070F" w:rsidP="004B098C" w:rsidRDefault="0026070F" w14:paraId="1E912C7F" w14:textId="77777777">
      <w:pPr>
        <w:autoSpaceDE w:val="0"/>
        <w:autoSpaceDN w:val="0"/>
        <w:adjustRightInd w:val="0"/>
        <w:jc w:val="both"/>
        <w:rPr>
          <w:rFonts w:ascii="Arial" w:hAnsi="Arial" w:cs="Arial"/>
          <w:color w:val="000000"/>
          <w:lang w:eastAsia="en-GB"/>
        </w:rPr>
      </w:pPr>
    </w:p>
    <w:p w:rsidR="0026070F" w:rsidP="004B098C" w:rsidRDefault="0026070F" w14:paraId="2D776D1D" w14:textId="77777777">
      <w:pPr>
        <w:autoSpaceDE w:val="0"/>
        <w:autoSpaceDN w:val="0"/>
        <w:adjustRightInd w:val="0"/>
        <w:jc w:val="both"/>
        <w:rPr>
          <w:rFonts w:ascii="Arial" w:hAnsi="Arial" w:cs="Arial"/>
          <w:color w:val="000000"/>
          <w:lang w:eastAsia="en-GB"/>
        </w:rPr>
      </w:pPr>
    </w:p>
    <w:p w:rsidR="0026070F" w:rsidP="004B098C" w:rsidRDefault="0026070F" w14:paraId="2C327402" w14:textId="77777777">
      <w:pPr>
        <w:autoSpaceDE w:val="0"/>
        <w:autoSpaceDN w:val="0"/>
        <w:adjustRightInd w:val="0"/>
        <w:jc w:val="both"/>
        <w:rPr>
          <w:rFonts w:ascii="Arial" w:hAnsi="Arial" w:cs="Arial"/>
          <w:color w:val="000000"/>
          <w:lang w:eastAsia="en-GB"/>
        </w:rPr>
      </w:pPr>
    </w:p>
    <w:p w:rsidR="0026070F" w:rsidP="004B098C" w:rsidRDefault="0026070F" w14:paraId="61869194" w14:textId="77777777">
      <w:pPr>
        <w:autoSpaceDE w:val="0"/>
        <w:autoSpaceDN w:val="0"/>
        <w:adjustRightInd w:val="0"/>
        <w:jc w:val="both"/>
        <w:rPr>
          <w:rFonts w:ascii="Arial" w:hAnsi="Arial" w:cs="Arial"/>
          <w:color w:val="000000"/>
          <w:lang w:eastAsia="en-GB"/>
        </w:rPr>
      </w:pPr>
    </w:p>
    <w:p w:rsidR="0026070F" w:rsidP="004B098C" w:rsidRDefault="0026070F" w14:paraId="487C235D" w14:textId="77777777">
      <w:pPr>
        <w:autoSpaceDE w:val="0"/>
        <w:autoSpaceDN w:val="0"/>
        <w:adjustRightInd w:val="0"/>
        <w:jc w:val="both"/>
        <w:rPr>
          <w:rFonts w:ascii="Arial" w:hAnsi="Arial" w:cs="Arial"/>
          <w:color w:val="000000"/>
          <w:lang w:eastAsia="en-GB"/>
        </w:rPr>
      </w:pPr>
    </w:p>
    <w:p w:rsidR="0026070F" w:rsidP="004B098C" w:rsidRDefault="0026070F" w14:paraId="199A0796" w14:textId="77777777">
      <w:pPr>
        <w:autoSpaceDE w:val="0"/>
        <w:autoSpaceDN w:val="0"/>
        <w:adjustRightInd w:val="0"/>
        <w:jc w:val="both"/>
        <w:rPr>
          <w:rFonts w:ascii="Arial" w:hAnsi="Arial" w:cs="Arial"/>
          <w:color w:val="000000"/>
          <w:lang w:eastAsia="en-GB"/>
        </w:rPr>
      </w:pPr>
    </w:p>
    <w:p w:rsidR="0026070F" w:rsidP="004B098C" w:rsidRDefault="0026070F" w14:paraId="3DEF23A8" w14:textId="77777777">
      <w:pPr>
        <w:autoSpaceDE w:val="0"/>
        <w:autoSpaceDN w:val="0"/>
        <w:adjustRightInd w:val="0"/>
        <w:jc w:val="both"/>
        <w:rPr>
          <w:rFonts w:ascii="Arial" w:hAnsi="Arial" w:cs="Arial"/>
          <w:color w:val="000000"/>
          <w:lang w:eastAsia="en-GB"/>
        </w:rPr>
      </w:pPr>
    </w:p>
    <w:p w:rsidR="0026070F" w:rsidP="004B098C" w:rsidRDefault="0026070F" w14:paraId="67A423DF" w14:textId="77777777">
      <w:pPr>
        <w:autoSpaceDE w:val="0"/>
        <w:autoSpaceDN w:val="0"/>
        <w:adjustRightInd w:val="0"/>
        <w:jc w:val="both"/>
        <w:rPr>
          <w:rFonts w:ascii="Arial" w:hAnsi="Arial" w:cs="Arial"/>
          <w:color w:val="000000"/>
          <w:lang w:eastAsia="en-GB"/>
        </w:rPr>
      </w:pPr>
    </w:p>
    <w:p w:rsidR="0026070F" w:rsidP="004B098C" w:rsidRDefault="0026070F" w14:paraId="06938BCC" w14:textId="77777777">
      <w:pPr>
        <w:autoSpaceDE w:val="0"/>
        <w:autoSpaceDN w:val="0"/>
        <w:adjustRightInd w:val="0"/>
        <w:jc w:val="both"/>
        <w:rPr>
          <w:rFonts w:ascii="Arial" w:hAnsi="Arial" w:cs="Arial"/>
          <w:color w:val="000000"/>
          <w:lang w:eastAsia="en-GB"/>
        </w:rPr>
      </w:pPr>
    </w:p>
    <w:p w:rsidR="0026070F" w:rsidP="004B098C" w:rsidRDefault="0026070F" w14:paraId="34902925" w14:textId="77777777">
      <w:pPr>
        <w:autoSpaceDE w:val="0"/>
        <w:autoSpaceDN w:val="0"/>
        <w:adjustRightInd w:val="0"/>
        <w:jc w:val="both"/>
        <w:rPr>
          <w:rFonts w:ascii="Arial" w:hAnsi="Arial" w:cs="Arial"/>
          <w:color w:val="000000"/>
          <w:lang w:eastAsia="en-GB"/>
        </w:rPr>
      </w:pPr>
    </w:p>
    <w:p w:rsidR="0026070F" w:rsidP="004B098C" w:rsidRDefault="0026070F" w14:paraId="7576069F" w14:textId="77777777">
      <w:pPr>
        <w:autoSpaceDE w:val="0"/>
        <w:autoSpaceDN w:val="0"/>
        <w:adjustRightInd w:val="0"/>
        <w:jc w:val="both"/>
        <w:rPr>
          <w:rFonts w:ascii="Arial" w:hAnsi="Arial" w:cs="Arial"/>
          <w:color w:val="000000"/>
          <w:lang w:eastAsia="en-GB"/>
        </w:rPr>
      </w:pPr>
    </w:p>
    <w:p w:rsidR="0026070F" w:rsidP="004B098C" w:rsidRDefault="0026070F" w14:paraId="40ECA14B" w14:textId="77777777">
      <w:pPr>
        <w:autoSpaceDE w:val="0"/>
        <w:autoSpaceDN w:val="0"/>
        <w:adjustRightInd w:val="0"/>
        <w:jc w:val="both"/>
        <w:rPr>
          <w:rFonts w:ascii="Arial" w:hAnsi="Arial" w:cs="Arial"/>
          <w:color w:val="000000"/>
          <w:lang w:eastAsia="en-GB"/>
        </w:rPr>
      </w:pPr>
    </w:p>
    <w:p w:rsidR="0026070F" w:rsidP="004B098C" w:rsidRDefault="0026070F" w14:paraId="52353DEA" w14:textId="77777777">
      <w:pPr>
        <w:autoSpaceDE w:val="0"/>
        <w:autoSpaceDN w:val="0"/>
        <w:adjustRightInd w:val="0"/>
        <w:jc w:val="both"/>
        <w:rPr>
          <w:rFonts w:ascii="Arial" w:hAnsi="Arial" w:cs="Arial"/>
          <w:color w:val="000000"/>
          <w:lang w:eastAsia="en-GB"/>
        </w:rPr>
      </w:pPr>
    </w:p>
    <w:p w:rsidR="0026070F" w:rsidP="004B098C" w:rsidRDefault="0026070F" w14:paraId="746C65E8" w14:textId="77777777">
      <w:pPr>
        <w:autoSpaceDE w:val="0"/>
        <w:autoSpaceDN w:val="0"/>
        <w:adjustRightInd w:val="0"/>
        <w:jc w:val="both"/>
        <w:rPr>
          <w:rFonts w:ascii="Arial" w:hAnsi="Arial" w:cs="Arial"/>
          <w:color w:val="000000"/>
          <w:lang w:eastAsia="en-GB"/>
        </w:rPr>
      </w:pPr>
    </w:p>
    <w:p w:rsidRPr="00F70486" w:rsidR="0026070F" w:rsidP="004B098C" w:rsidRDefault="0026070F" w14:paraId="097C93DB" w14:textId="77777777">
      <w:pPr>
        <w:autoSpaceDE w:val="0"/>
        <w:autoSpaceDN w:val="0"/>
        <w:adjustRightInd w:val="0"/>
        <w:jc w:val="both"/>
        <w:rPr>
          <w:rFonts w:ascii="Arial" w:hAnsi="Arial" w:cs="Arial"/>
          <w:color w:val="000000"/>
          <w:lang w:eastAsia="en-GB"/>
        </w:rPr>
      </w:pPr>
    </w:p>
    <w:p w:rsidRPr="00F70486" w:rsidR="00726021" w:rsidP="007A5311" w:rsidRDefault="00726021" w14:paraId="422B7E5D" w14:textId="77777777"/>
    <w:p w:rsidRPr="00F70486" w:rsidR="00D17D8A" w:rsidP="007A5311" w:rsidRDefault="00EC7BAC" w14:paraId="199B7C98" w14:textId="77777777">
      <w:r w:rsidRPr="00F70486">
        <w:rPr>
          <w:noProof/>
          <w:lang w:eastAsia="en-GB"/>
        </w:rPr>
        <mc:AlternateContent>
          <mc:Choice Requires="wps">
            <w:drawing>
              <wp:inline distT="0" distB="0" distL="0" distR="0" wp14:anchorId="7994764B" wp14:editId="18829C94">
                <wp:extent cx="5412740" cy="135255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12740" cy="1352550"/>
                        </a:xfrm>
                        <a:prstGeom prst="rect">
                          <a:avLst/>
                        </a:prstGeom>
                        <a:solidFill>
                          <a:srgbClr val="D4D4D4"/>
                        </a:solidFill>
                        <a:ln w="9525">
                          <a:noFill/>
                          <a:miter/>
                        </a:ln>
                      </wps:spPr>
                      <wps:txbx>
                        <w:txbxContent>
                          <w:p w:rsidR="00537293" w:rsidP="00B63B9F" w:rsidRDefault="00537293" w14:paraId="5CC6F9A9" w14:textId="77777777">
                            <w:pPr>
                              <w:spacing w:after="120" w:line="252" w:lineRule="auto"/>
                              <w:rPr>
                                <w:rFonts w:ascii="Arial" w:hAnsi="Arial" w:cs="Arial"/>
                                <w:b/>
                                <w:bCs/>
                                <w:color w:val="000000"/>
                                <w:lang w:val="en-US"/>
                              </w:rPr>
                            </w:pPr>
                            <w:r>
                              <w:rPr>
                                <w:rFonts w:ascii="Arial" w:hAnsi="Arial" w:cs="Arial"/>
                                <w:b/>
                                <w:bCs/>
                                <w:color w:val="000000"/>
                                <w:lang w:val="en-US"/>
                              </w:rPr>
                              <w:t xml:space="preserve">For further information or an informal discussion on this project, please contact Dr Kay Norman k.norman@worc.ac.uk </w:t>
                            </w:r>
                          </w:p>
                          <w:p w:rsidR="00537293" w:rsidP="00B63B9F" w:rsidRDefault="00537293" w14:paraId="5864B065" w14:textId="77777777">
                            <w:pPr>
                              <w:spacing w:after="120" w:line="252" w:lineRule="auto"/>
                              <w:rPr>
                                <w:rFonts w:ascii="Arial" w:hAnsi="Arial" w:cs="Arial"/>
                                <w:b/>
                                <w:bCs/>
                                <w:color w:val="000000"/>
                                <w:lang w:val="en-US"/>
                              </w:rPr>
                            </w:pPr>
                            <w:r>
                              <w:rPr>
                                <w:rFonts w:ascii="Arial" w:hAnsi="Arial" w:cs="Arial"/>
                                <w:b/>
                                <w:bCs/>
                                <w:color w:val="000000"/>
                                <w:lang w:val="en-US"/>
                              </w:rPr>
                              <w:t xml:space="preserve">Applications can be made at: </w:t>
                            </w:r>
                          </w:p>
                          <w:p w:rsidRPr="00537293" w:rsidR="00537293" w:rsidP="00B63B9F" w:rsidRDefault="00000000" w14:paraId="29CFF107" w14:textId="08A12C70">
                            <w:pPr>
                              <w:spacing w:line="252" w:lineRule="auto"/>
                              <w:rPr>
                                <w:rFonts w:ascii="Calibri" w:hAnsi="Calibri" w:eastAsia="Cambria" w:cs="Calibri"/>
                                <w:sz w:val="28"/>
                                <w:szCs w:val="28"/>
                                <w:lang w:val="en-US"/>
                              </w:rPr>
                            </w:pPr>
                            <w:hyperlink w:history="1" r:id="rId20">
                              <w:r w:rsidRPr="00537293" w:rsidR="00537293">
                                <w:rPr>
                                  <w:rStyle w:val="Hyperlink"/>
                                  <w:rFonts w:ascii="Calibri" w:hAnsi="Calibri" w:eastAsia="Cambria" w:cs="Calibri"/>
                                  <w:sz w:val="28"/>
                                  <w:szCs w:val="28"/>
                                  <w:lang w:val="en-US"/>
                                </w:rPr>
                                <w:t>https://www.worcester.ac.uk/courses/nursing-mphilphd</w:t>
                              </w:r>
                            </w:hyperlink>
                            <w:r w:rsidRPr="00537293" w:rsidR="00537293">
                              <w:rPr>
                                <w:rFonts w:ascii="Calibri" w:hAnsi="Calibri" w:eastAsia="Cambria" w:cs="Calibri"/>
                                <w:sz w:val="28"/>
                                <w:szCs w:val="28"/>
                                <w:lang w:val="en-US"/>
                              </w:rPr>
                              <w:t xml:space="preserve"> </w:t>
                            </w:r>
                          </w:p>
                        </w:txbxContent>
                      </wps:txbx>
                      <wps:bodyPr wrap="square" lIns="91440" tIns="45720" rIns="91440" bIns="45720" anchor="t">
                        <a:noAutofit/>
                      </wps:bodyPr>
                    </wps:wsp>
                  </a:graphicData>
                </a:graphic>
              </wp:inline>
            </w:drawing>
          </mc:Choice>
          <mc:Fallback>
            <w:pict>
              <v:rect id="Text Box 2" style="width:426.2pt;height:106.5pt;visibility:visible;mso-wrap-style:square;mso-left-percent:-10001;mso-top-percent:-10001;mso-position-horizontal:absolute;mso-position-horizontal-relative:char;mso-position-vertical:absolute;mso-position-vertical-relative:line;mso-left-percent:-10001;mso-top-percent:-10001;v-text-anchor:top" o:spid="_x0000_s1027" fillcolor="#d4d4d4" stroked="f" w14:anchorId="799476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">
                <v:textbox>
                  <w:txbxContent>
                    <w:p w:rsidR="00537293" w:rsidP="00B63B9F" w:rsidRDefault="00537293" w14:paraId="5CC6F9A9" w14:textId="77777777">
                      <w:pPr>
                        <w:spacing w:after="120" w:line="252" w:lineRule="auto"/>
                        <w:rPr>
                          <w:rFonts w:ascii="Arial" w:hAnsi="Arial" w:cs="Arial"/>
                          <w:b/>
                          <w:bCs/>
                          <w:color w:val="000000"/>
                          <w:lang w:val="en-US"/>
                        </w:rPr>
                      </w:pPr>
                      <w:r>
                        <w:rPr>
                          <w:rFonts w:ascii="Arial" w:hAnsi="Arial" w:cs="Arial"/>
                          <w:b/>
                          <w:bCs/>
                          <w:color w:val="000000"/>
                          <w:lang w:val="en-US"/>
                        </w:rPr>
                        <w:t xml:space="preserve">For further information or an informal discussion on this project, please contact Dr Kay Norman k.norman@worc.ac.uk </w:t>
                      </w:r>
                    </w:p>
                    <w:p w:rsidR="00537293" w:rsidP="00B63B9F" w:rsidRDefault="00537293" w14:paraId="5864B065" w14:textId="77777777">
                      <w:pPr>
                        <w:spacing w:after="120" w:line="252" w:lineRule="auto"/>
                        <w:rPr>
                          <w:rFonts w:ascii="Arial" w:hAnsi="Arial" w:cs="Arial"/>
                          <w:b/>
                          <w:bCs/>
                          <w:color w:val="000000"/>
                          <w:lang w:val="en-US"/>
                        </w:rPr>
                      </w:pPr>
                      <w:r>
                        <w:rPr>
                          <w:rFonts w:ascii="Arial" w:hAnsi="Arial" w:cs="Arial"/>
                          <w:b/>
                          <w:bCs/>
                          <w:color w:val="000000"/>
                          <w:lang w:val="en-US"/>
                        </w:rPr>
                        <w:t xml:space="preserve">Applications can be made at: </w:t>
                      </w:r>
                    </w:p>
                    <w:p w:rsidRPr="00537293" w:rsidR="00537293" w:rsidP="00B63B9F" w:rsidRDefault="00000000" w14:paraId="29CFF107" w14:textId="08A12C70">
                      <w:pPr>
                        <w:spacing w:line="252" w:lineRule="auto"/>
                        <w:rPr>
                          <w:rFonts w:ascii="Calibri" w:hAnsi="Calibri" w:eastAsia="Cambria" w:cs="Calibri"/>
                          <w:sz w:val="28"/>
                          <w:szCs w:val="28"/>
                          <w:lang w:val="en-US"/>
                        </w:rPr>
                      </w:pPr>
                      <w:hyperlink w:history="1" r:id="rId21">
                        <w:r w:rsidRPr="00537293" w:rsidR="00537293">
                          <w:rPr>
                            <w:rStyle w:val="Hyperlink"/>
                            <w:rFonts w:ascii="Calibri" w:hAnsi="Calibri" w:eastAsia="Cambria" w:cs="Calibri"/>
                            <w:sz w:val="28"/>
                            <w:szCs w:val="28"/>
                            <w:lang w:val="en-US"/>
                          </w:rPr>
                          <w:t>https://www.worcester.ac.uk/courses/nursing-mphilphd</w:t>
                        </w:r>
                      </w:hyperlink>
                      <w:r w:rsidRPr="00537293" w:rsidR="00537293">
                        <w:rPr>
                          <w:rFonts w:ascii="Calibri" w:hAnsi="Calibri" w:eastAsia="Cambria" w:cs="Calibri"/>
                          <w:sz w:val="28"/>
                          <w:szCs w:val="28"/>
                          <w:lang w:val="en-US"/>
                        </w:rPr>
                        <w:t xml:space="preserve"> </w:t>
                      </w:r>
                    </w:p>
                  </w:txbxContent>
                </v:textbox>
                <w10:anchorlock/>
              </v:rect>
            </w:pict>
          </mc:Fallback>
        </mc:AlternateContent>
      </w:r>
    </w:p>
    <w:sectPr w:rsidRPr="00F70486" w:rsidR="00D17D8A" w:rsidSect="004809C6">
      <w:headerReference w:type="even" r:id="rId22"/>
      <w:headerReference w:type="default" r:id="rId23"/>
      <w:footerReference w:type="even" r:id="rId24"/>
      <w:footerReference w:type="default" r:id="rId25"/>
      <w:headerReference w:type="first" r:id="rId26"/>
      <w:footerReference w:type="first" r:id="rId27"/>
      <w:pgSz w:w="11900" w:h="16840"/>
      <w:pgMar w:top="1440" w:right="1410" w:bottom="226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54BAB" w14:textId="77777777" w:rsidR="00EA7B1C" w:rsidRDefault="00EA7B1C" w:rsidP="00615ABB">
      <w:r>
        <w:separator/>
      </w:r>
    </w:p>
  </w:endnote>
  <w:endnote w:type="continuationSeparator" w:id="0">
    <w:p w14:paraId="00CD0DB6" w14:textId="77777777" w:rsidR="00EA7B1C" w:rsidRDefault="00EA7B1C" w:rsidP="00615ABB">
      <w:r>
        <w:continuationSeparator/>
      </w:r>
    </w:p>
  </w:endnote>
  <w:endnote w:type="continuationNotice" w:id="1">
    <w:p w14:paraId="1ED55BC8" w14:textId="77777777" w:rsidR="00EA7B1C" w:rsidRDefault="00EA7B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Bliss 2 Regular">
    <w:altName w:val="Calibri"/>
    <w:panose1 w:val="02000506030000020004"/>
    <w:charset w:val="00"/>
    <w:family w:val="modern"/>
    <w:notTrueType/>
    <w:pitch w:val="variable"/>
    <w:sig w:usb0="A00000AF" w:usb1="5000204B" w:usb2="00000000" w:usb3="00000000" w:csb0="0000009B"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9097" w14:textId="77777777" w:rsidR="00F43C8D" w:rsidRDefault="00F43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5FD2" w14:textId="77777777" w:rsidR="00F43C8D" w:rsidRDefault="00F43C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F6B" w14:textId="77777777" w:rsidR="00F43C8D" w:rsidRDefault="00F43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FD075" w14:textId="77777777" w:rsidR="00EA7B1C" w:rsidRDefault="00EA7B1C" w:rsidP="00615ABB">
      <w:r>
        <w:separator/>
      </w:r>
    </w:p>
  </w:footnote>
  <w:footnote w:type="continuationSeparator" w:id="0">
    <w:p w14:paraId="192B0582" w14:textId="77777777" w:rsidR="00EA7B1C" w:rsidRDefault="00EA7B1C" w:rsidP="00615ABB">
      <w:r>
        <w:continuationSeparator/>
      </w:r>
    </w:p>
  </w:footnote>
  <w:footnote w:type="continuationNotice" w:id="1">
    <w:p w14:paraId="7FE1CE81" w14:textId="77777777" w:rsidR="00EA7B1C" w:rsidRDefault="00EA7B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A366" w14:textId="77777777" w:rsidR="00615ABB" w:rsidRDefault="00000000">
    <w:pPr>
      <w:pStyle w:val="Header"/>
    </w:pPr>
    <w:r>
      <w:rPr>
        <w:noProof/>
        <w:lang w:eastAsia="en-GB"/>
      </w:rPr>
      <w:pict w14:anchorId="48EE0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457" o:spid="_x0000_s1041" type="#_x0000_t75" style="position:absolute;margin-left:0;margin-top:0;width:601.15pt;height:850.3pt;z-index:-251658239;mso-position-horizontal:center;mso-position-horizontal-relative:margin;mso-position-vertical:center;mso-position-vertical-relative:margin" o:allowincell="f">
          <v:imagedata r:id="rId1" o:title="Studentship Advert Background Im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A6BA" w14:textId="77777777" w:rsidR="00D92AC7" w:rsidRDefault="00627573">
    <w:pPr>
      <w:pStyle w:val="Header"/>
    </w:pPr>
    <w:r>
      <w:rPr>
        <w:noProof/>
      </w:rPr>
      <w:drawing>
        <wp:anchor distT="0" distB="0" distL="114300" distR="114300" simplePos="0" relativeHeight="251659265" behindDoc="1" locked="0" layoutInCell="1" allowOverlap="1" wp14:anchorId="6E582F90" wp14:editId="0E91DCBA">
          <wp:simplePos x="0" y="0"/>
          <wp:positionH relativeFrom="page">
            <wp:posOffset>0</wp:posOffset>
          </wp:positionH>
          <wp:positionV relativeFrom="paragraph">
            <wp:posOffset>-411480</wp:posOffset>
          </wp:positionV>
          <wp:extent cx="7648575" cy="10683875"/>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648575" cy="10683875"/>
                  </a:xfrm>
                  <a:prstGeom prst="rect">
                    <a:avLst/>
                  </a:prstGeom>
                </pic:spPr>
              </pic:pic>
            </a:graphicData>
          </a:graphic>
          <wp14:sizeRelH relativeFrom="margin">
            <wp14:pctWidth>0</wp14:pctWidth>
          </wp14:sizeRelH>
          <wp14:sizeRelV relativeFrom="margin">
            <wp14:pctHeight>0</wp14:pctHeight>
          </wp14:sizeRelV>
        </wp:anchor>
      </w:drawing>
    </w:r>
  </w:p>
  <w:p w14:paraId="14D2D5E2" w14:textId="77777777" w:rsidR="00615ABB" w:rsidRDefault="00615A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81E3" w14:textId="77777777" w:rsidR="00615ABB" w:rsidRDefault="00000000">
    <w:pPr>
      <w:pStyle w:val="Header"/>
    </w:pPr>
    <w:r>
      <w:rPr>
        <w:noProof/>
        <w:lang w:eastAsia="en-GB"/>
      </w:rPr>
      <w:pict w14:anchorId="67A0E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456" o:spid="_x0000_s1040" type="#_x0000_t75" style="position:absolute;margin-left:0;margin-top:0;width:601.15pt;height:850.3pt;z-index:-251658240;mso-position-horizontal:center;mso-position-horizontal-relative:margin;mso-position-vertical:center;mso-position-vertical-relative:margin" o:allowincell="f">
          <v:imagedata r:id="rId1" o:title="Studentship Advert Background Ima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77D"/>
    <w:multiLevelType w:val="hybridMultilevel"/>
    <w:tmpl w:val="5ACA4A1A"/>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 w15:restartNumberingAfterBreak="0">
    <w:nsid w:val="0F40313E"/>
    <w:multiLevelType w:val="multilevel"/>
    <w:tmpl w:val="8CCA8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411D56"/>
    <w:multiLevelType w:val="hybridMultilevel"/>
    <w:tmpl w:val="3F483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DE101A"/>
    <w:multiLevelType w:val="hybridMultilevel"/>
    <w:tmpl w:val="BB7AE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55621"/>
    <w:multiLevelType w:val="hybridMultilevel"/>
    <w:tmpl w:val="D81AD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3058F1"/>
    <w:multiLevelType w:val="hybridMultilevel"/>
    <w:tmpl w:val="B88A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33297E"/>
    <w:multiLevelType w:val="hybridMultilevel"/>
    <w:tmpl w:val="085C08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47503F"/>
    <w:multiLevelType w:val="hybridMultilevel"/>
    <w:tmpl w:val="734A50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4E5D9D"/>
    <w:multiLevelType w:val="hybridMultilevel"/>
    <w:tmpl w:val="44F8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37656"/>
    <w:multiLevelType w:val="hybridMultilevel"/>
    <w:tmpl w:val="11C8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966932">
    <w:abstractNumId w:val="7"/>
  </w:num>
  <w:num w:numId="2" w16cid:durableId="1308243893">
    <w:abstractNumId w:val="6"/>
  </w:num>
  <w:num w:numId="3" w16cid:durableId="2084715895">
    <w:abstractNumId w:val="5"/>
  </w:num>
  <w:num w:numId="4" w16cid:durableId="1076896744">
    <w:abstractNumId w:val="8"/>
  </w:num>
  <w:num w:numId="5" w16cid:durableId="1601569617">
    <w:abstractNumId w:val="9"/>
  </w:num>
  <w:num w:numId="6" w16cid:durableId="143359599">
    <w:abstractNumId w:val="3"/>
  </w:num>
  <w:num w:numId="7" w16cid:durableId="2105296430">
    <w:abstractNumId w:val="0"/>
  </w:num>
  <w:num w:numId="8" w16cid:durableId="445663955">
    <w:abstractNumId w:val="4"/>
  </w:num>
  <w:num w:numId="9" w16cid:durableId="1499229158">
    <w:abstractNumId w:val="2"/>
  </w:num>
  <w:num w:numId="10" w16cid:durableId="1121462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11"/>
    <w:rsid w:val="000021FC"/>
    <w:rsid w:val="00002298"/>
    <w:rsid w:val="000570C0"/>
    <w:rsid w:val="000B776B"/>
    <w:rsid w:val="000C300D"/>
    <w:rsid w:val="00102C77"/>
    <w:rsid w:val="00171629"/>
    <w:rsid w:val="001B70A8"/>
    <w:rsid w:val="001B7A39"/>
    <w:rsid w:val="00207D46"/>
    <w:rsid w:val="00230214"/>
    <w:rsid w:val="002318F6"/>
    <w:rsid w:val="00232E15"/>
    <w:rsid w:val="00250B5C"/>
    <w:rsid w:val="0026070F"/>
    <w:rsid w:val="00267B3A"/>
    <w:rsid w:val="00291F06"/>
    <w:rsid w:val="002F5428"/>
    <w:rsid w:val="003040C9"/>
    <w:rsid w:val="0031064B"/>
    <w:rsid w:val="00310A88"/>
    <w:rsid w:val="00336A3F"/>
    <w:rsid w:val="00337B0F"/>
    <w:rsid w:val="0037259E"/>
    <w:rsid w:val="00379C64"/>
    <w:rsid w:val="003A3667"/>
    <w:rsid w:val="003C7D20"/>
    <w:rsid w:val="00423A4B"/>
    <w:rsid w:val="004803E3"/>
    <w:rsid w:val="004809C6"/>
    <w:rsid w:val="004B098C"/>
    <w:rsid w:val="004C13D7"/>
    <w:rsid w:val="004E3BFC"/>
    <w:rsid w:val="0051357D"/>
    <w:rsid w:val="00522F3D"/>
    <w:rsid w:val="005330A7"/>
    <w:rsid w:val="005367C5"/>
    <w:rsid w:val="00537293"/>
    <w:rsid w:val="005666DA"/>
    <w:rsid w:val="00567D0B"/>
    <w:rsid w:val="0058550F"/>
    <w:rsid w:val="00586422"/>
    <w:rsid w:val="00592D44"/>
    <w:rsid w:val="005A4108"/>
    <w:rsid w:val="00604A88"/>
    <w:rsid w:val="006052E3"/>
    <w:rsid w:val="00615ABB"/>
    <w:rsid w:val="0062132D"/>
    <w:rsid w:val="00627573"/>
    <w:rsid w:val="00664C5A"/>
    <w:rsid w:val="006853C6"/>
    <w:rsid w:val="006C2625"/>
    <w:rsid w:val="006C588D"/>
    <w:rsid w:val="006C5A37"/>
    <w:rsid w:val="006C7B21"/>
    <w:rsid w:val="006D347D"/>
    <w:rsid w:val="00716669"/>
    <w:rsid w:val="00726021"/>
    <w:rsid w:val="00733A7B"/>
    <w:rsid w:val="0076072D"/>
    <w:rsid w:val="007620CD"/>
    <w:rsid w:val="00771CF4"/>
    <w:rsid w:val="00780346"/>
    <w:rsid w:val="007A5311"/>
    <w:rsid w:val="007B2ECF"/>
    <w:rsid w:val="007B719C"/>
    <w:rsid w:val="007B7ADA"/>
    <w:rsid w:val="007C3BE2"/>
    <w:rsid w:val="007D78D7"/>
    <w:rsid w:val="007E681D"/>
    <w:rsid w:val="007F079F"/>
    <w:rsid w:val="00803F24"/>
    <w:rsid w:val="0081578A"/>
    <w:rsid w:val="008178BB"/>
    <w:rsid w:val="00826605"/>
    <w:rsid w:val="008442C4"/>
    <w:rsid w:val="00844452"/>
    <w:rsid w:val="00845289"/>
    <w:rsid w:val="00856A44"/>
    <w:rsid w:val="0089567F"/>
    <w:rsid w:val="008C3FF4"/>
    <w:rsid w:val="008C55F2"/>
    <w:rsid w:val="008E45DA"/>
    <w:rsid w:val="008E762D"/>
    <w:rsid w:val="008F214E"/>
    <w:rsid w:val="00931A48"/>
    <w:rsid w:val="009350A2"/>
    <w:rsid w:val="00963727"/>
    <w:rsid w:val="00964CF5"/>
    <w:rsid w:val="00970228"/>
    <w:rsid w:val="009736C6"/>
    <w:rsid w:val="009A7883"/>
    <w:rsid w:val="009B4C60"/>
    <w:rsid w:val="009C0561"/>
    <w:rsid w:val="009C591C"/>
    <w:rsid w:val="009D09ED"/>
    <w:rsid w:val="00A320AE"/>
    <w:rsid w:val="00A37EB0"/>
    <w:rsid w:val="00A60F5E"/>
    <w:rsid w:val="00A8707F"/>
    <w:rsid w:val="00AA0BFF"/>
    <w:rsid w:val="00AB3935"/>
    <w:rsid w:val="00AC7187"/>
    <w:rsid w:val="00AD00D8"/>
    <w:rsid w:val="00AF0D2A"/>
    <w:rsid w:val="00AF3835"/>
    <w:rsid w:val="00B20E9C"/>
    <w:rsid w:val="00B23171"/>
    <w:rsid w:val="00B234DB"/>
    <w:rsid w:val="00B33559"/>
    <w:rsid w:val="00B401E1"/>
    <w:rsid w:val="00B55D4E"/>
    <w:rsid w:val="00B6257C"/>
    <w:rsid w:val="00B64D17"/>
    <w:rsid w:val="00B650DD"/>
    <w:rsid w:val="00B67493"/>
    <w:rsid w:val="00B72C60"/>
    <w:rsid w:val="00B81E0E"/>
    <w:rsid w:val="00B81E83"/>
    <w:rsid w:val="00B92784"/>
    <w:rsid w:val="00B93746"/>
    <w:rsid w:val="00BB7A06"/>
    <w:rsid w:val="00BC47BB"/>
    <w:rsid w:val="00BC7B65"/>
    <w:rsid w:val="00BD01E1"/>
    <w:rsid w:val="00C21F2F"/>
    <w:rsid w:val="00C43808"/>
    <w:rsid w:val="00C51952"/>
    <w:rsid w:val="00C95979"/>
    <w:rsid w:val="00CA4BA5"/>
    <w:rsid w:val="00CA6F2B"/>
    <w:rsid w:val="00CC219B"/>
    <w:rsid w:val="00D17D8A"/>
    <w:rsid w:val="00D225BF"/>
    <w:rsid w:val="00D63014"/>
    <w:rsid w:val="00D825A4"/>
    <w:rsid w:val="00D9249E"/>
    <w:rsid w:val="00D92AC7"/>
    <w:rsid w:val="00DA307F"/>
    <w:rsid w:val="00DA52CF"/>
    <w:rsid w:val="00DA6D18"/>
    <w:rsid w:val="00DA7988"/>
    <w:rsid w:val="00DE6792"/>
    <w:rsid w:val="00DF2DC2"/>
    <w:rsid w:val="00E10B97"/>
    <w:rsid w:val="00E47C07"/>
    <w:rsid w:val="00E65F70"/>
    <w:rsid w:val="00E83C33"/>
    <w:rsid w:val="00E87204"/>
    <w:rsid w:val="00EA63B0"/>
    <w:rsid w:val="00EA7B1C"/>
    <w:rsid w:val="00EC7BAC"/>
    <w:rsid w:val="00ED1444"/>
    <w:rsid w:val="00EE6E81"/>
    <w:rsid w:val="00EF1F2F"/>
    <w:rsid w:val="00F00CD6"/>
    <w:rsid w:val="00F43C8D"/>
    <w:rsid w:val="00F6657A"/>
    <w:rsid w:val="00F70486"/>
    <w:rsid w:val="00F712AB"/>
    <w:rsid w:val="00F72E8B"/>
    <w:rsid w:val="00F821FB"/>
    <w:rsid w:val="00F8489F"/>
    <w:rsid w:val="00F9BCED"/>
    <w:rsid w:val="00FB40BD"/>
    <w:rsid w:val="00FD127B"/>
    <w:rsid w:val="00FE456D"/>
    <w:rsid w:val="018FC53B"/>
    <w:rsid w:val="04EBA00F"/>
    <w:rsid w:val="0512140F"/>
    <w:rsid w:val="0607910F"/>
    <w:rsid w:val="08F414BF"/>
    <w:rsid w:val="0909BA9B"/>
    <w:rsid w:val="09FA4818"/>
    <w:rsid w:val="0B30DC60"/>
    <w:rsid w:val="0BE5AB01"/>
    <w:rsid w:val="0DFBDCF3"/>
    <w:rsid w:val="0E1A1B6C"/>
    <w:rsid w:val="0ECCE242"/>
    <w:rsid w:val="0F4CCCEC"/>
    <w:rsid w:val="0FF6A3D9"/>
    <w:rsid w:val="1143EAC2"/>
    <w:rsid w:val="119D0CB0"/>
    <w:rsid w:val="1349A6EC"/>
    <w:rsid w:val="138FB617"/>
    <w:rsid w:val="149F7207"/>
    <w:rsid w:val="17082285"/>
    <w:rsid w:val="19B8E870"/>
    <w:rsid w:val="19E0A1AE"/>
    <w:rsid w:val="1BF0A334"/>
    <w:rsid w:val="1D0D02F3"/>
    <w:rsid w:val="1DD6937E"/>
    <w:rsid w:val="1E1B07B7"/>
    <w:rsid w:val="1EFB754F"/>
    <w:rsid w:val="1F0FAF9E"/>
    <w:rsid w:val="2130029E"/>
    <w:rsid w:val="21964EA7"/>
    <w:rsid w:val="229372D1"/>
    <w:rsid w:val="23D07983"/>
    <w:rsid w:val="268FE394"/>
    <w:rsid w:val="27081A45"/>
    <w:rsid w:val="2ACCBE8E"/>
    <w:rsid w:val="2B71A1AF"/>
    <w:rsid w:val="2BDB8B68"/>
    <w:rsid w:val="2CE7B97E"/>
    <w:rsid w:val="2E15E99B"/>
    <w:rsid w:val="317207D2"/>
    <w:rsid w:val="31C8E348"/>
    <w:rsid w:val="32A551A1"/>
    <w:rsid w:val="32CECC39"/>
    <w:rsid w:val="359AE91B"/>
    <w:rsid w:val="39CCBFB8"/>
    <w:rsid w:val="3A9623F4"/>
    <w:rsid w:val="3AAFF5E1"/>
    <w:rsid w:val="3B746C7A"/>
    <w:rsid w:val="3B891EC0"/>
    <w:rsid w:val="3C45B130"/>
    <w:rsid w:val="3DD877DE"/>
    <w:rsid w:val="3E1B003F"/>
    <w:rsid w:val="3F74483F"/>
    <w:rsid w:val="407605F7"/>
    <w:rsid w:val="408ACA9B"/>
    <w:rsid w:val="40C06616"/>
    <w:rsid w:val="40CC11BC"/>
    <w:rsid w:val="40FBC8BE"/>
    <w:rsid w:val="4123E237"/>
    <w:rsid w:val="415144F4"/>
    <w:rsid w:val="419F36E8"/>
    <w:rsid w:val="4223690A"/>
    <w:rsid w:val="425C3677"/>
    <w:rsid w:val="42ABE901"/>
    <w:rsid w:val="4309E420"/>
    <w:rsid w:val="45389EEC"/>
    <w:rsid w:val="46586A39"/>
    <w:rsid w:val="46784CBD"/>
    <w:rsid w:val="480D1AE5"/>
    <w:rsid w:val="49871B1D"/>
    <w:rsid w:val="4A0EED78"/>
    <w:rsid w:val="4D15C33C"/>
    <w:rsid w:val="4D39CD23"/>
    <w:rsid w:val="4D45B863"/>
    <w:rsid w:val="4D916C67"/>
    <w:rsid w:val="4DE93CE2"/>
    <w:rsid w:val="4E51AAE0"/>
    <w:rsid w:val="4F850D43"/>
    <w:rsid w:val="502068C9"/>
    <w:rsid w:val="5107E07D"/>
    <w:rsid w:val="51BBF94A"/>
    <w:rsid w:val="52BCB1FB"/>
    <w:rsid w:val="56913D5E"/>
    <w:rsid w:val="56943DAD"/>
    <w:rsid w:val="581CA0B2"/>
    <w:rsid w:val="5B45ECB6"/>
    <w:rsid w:val="5BCE9A4A"/>
    <w:rsid w:val="5D7ECF32"/>
    <w:rsid w:val="5E6AC12E"/>
    <w:rsid w:val="5E90C56B"/>
    <w:rsid w:val="60229976"/>
    <w:rsid w:val="61AA5A9B"/>
    <w:rsid w:val="6A2FC556"/>
    <w:rsid w:val="6AF126D1"/>
    <w:rsid w:val="6BC5D56C"/>
    <w:rsid w:val="6C53D9D0"/>
    <w:rsid w:val="6D73198E"/>
    <w:rsid w:val="6EBFCB9C"/>
    <w:rsid w:val="71120771"/>
    <w:rsid w:val="71E55990"/>
    <w:rsid w:val="726986B1"/>
    <w:rsid w:val="73643C4C"/>
    <w:rsid w:val="7552AEA8"/>
    <w:rsid w:val="76C6C088"/>
    <w:rsid w:val="773EFE3F"/>
    <w:rsid w:val="78471E5D"/>
    <w:rsid w:val="79048607"/>
    <w:rsid w:val="794D4B8A"/>
    <w:rsid w:val="7A26F5A2"/>
    <w:rsid w:val="7C038127"/>
    <w:rsid w:val="7D156F9F"/>
    <w:rsid w:val="7E0F4E92"/>
    <w:rsid w:val="7E78E7C6"/>
    <w:rsid w:val="7E8BBB81"/>
    <w:rsid w:val="7F3086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F19BDF"/>
  <w15:docId w15:val="{87064902-E982-4CEE-BA3D-D25AC3D5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BE2"/>
  </w:style>
  <w:style w:type="paragraph" w:styleId="Heading2">
    <w:name w:val="heading 2"/>
    <w:basedOn w:val="Normal"/>
    <w:next w:val="Normal"/>
    <w:link w:val="Heading2Char"/>
    <w:unhideWhenUsed/>
    <w:qFormat/>
    <w:rsid w:val="00586422"/>
    <w:pPr>
      <w:keepNext/>
      <w:jc w:val="both"/>
      <w:outlineLvl w:val="1"/>
    </w:pPr>
    <w:rPr>
      <w:rFonts w:ascii="Arial" w:eastAsia="Times New Roman" w:hAnsi="Arial" w:cs="Times New Roman"/>
      <w:b/>
      <w:bCs/>
      <w:sz w:val="20"/>
    </w:rPr>
  </w:style>
  <w:style w:type="paragraph" w:styleId="Heading3">
    <w:name w:val="heading 3"/>
    <w:basedOn w:val="Normal"/>
    <w:next w:val="Normal"/>
    <w:link w:val="Heading3Char"/>
    <w:uiPriority w:val="9"/>
    <w:semiHidden/>
    <w:unhideWhenUsed/>
    <w:qFormat/>
    <w:rsid w:val="00F8489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37B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3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311"/>
    <w:rPr>
      <w:rFonts w:ascii="Lucida Grande" w:hAnsi="Lucida Grande" w:cs="Lucida Grande"/>
      <w:sz w:val="18"/>
      <w:szCs w:val="18"/>
    </w:rPr>
  </w:style>
  <w:style w:type="paragraph" w:styleId="Header">
    <w:name w:val="header"/>
    <w:basedOn w:val="Normal"/>
    <w:link w:val="HeaderChar"/>
    <w:uiPriority w:val="99"/>
    <w:unhideWhenUsed/>
    <w:rsid w:val="00615ABB"/>
    <w:pPr>
      <w:tabs>
        <w:tab w:val="center" w:pos="4320"/>
        <w:tab w:val="right" w:pos="8640"/>
      </w:tabs>
    </w:pPr>
  </w:style>
  <w:style w:type="character" w:customStyle="1" w:styleId="HeaderChar">
    <w:name w:val="Header Char"/>
    <w:basedOn w:val="DefaultParagraphFont"/>
    <w:link w:val="Header"/>
    <w:uiPriority w:val="99"/>
    <w:rsid w:val="00615ABB"/>
  </w:style>
  <w:style w:type="paragraph" w:styleId="Footer">
    <w:name w:val="footer"/>
    <w:basedOn w:val="Normal"/>
    <w:link w:val="FooterChar"/>
    <w:uiPriority w:val="99"/>
    <w:unhideWhenUsed/>
    <w:rsid w:val="00615ABB"/>
    <w:pPr>
      <w:tabs>
        <w:tab w:val="center" w:pos="4320"/>
        <w:tab w:val="right" w:pos="8640"/>
      </w:tabs>
    </w:pPr>
  </w:style>
  <w:style w:type="character" w:customStyle="1" w:styleId="FooterChar">
    <w:name w:val="Footer Char"/>
    <w:basedOn w:val="DefaultParagraphFont"/>
    <w:link w:val="Footer"/>
    <w:uiPriority w:val="99"/>
    <w:rsid w:val="00615ABB"/>
  </w:style>
  <w:style w:type="paragraph" w:customStyle="1" w:styleId="Default">
    <w:name w:val="Default"/>
    <w:rsid w:val="00586422"/>
    <w:pPr>
      <w:autoSpaceDE w:val="0"/>
      <w:autoSpaceDN w:val="0"/>
      <w:adjustRightInd w:val="0"/>
    </w:pPr>
    <w:rPr>
      <w:rFonts w:ascii="Arial" w:eastAsia="Times New Roman" w:hAnsi="Arial" w:cs="Arial"/>
      <w:color w:val="000000"/>
      <w:lang w:eastAsia="en-GB"/>
    </w:rPr>
  </w:style>
  <w:style w:type="character" w:customStyle="1" w:styleId="Heading2Char">
    <w:name w:val="Heading 2 Char"/>
    <w:basedOn w:val="DefaultParagraphFont"/>
    <w:link w:val="Heading2"/>
    <w:rsid w:val="00586422"/>
    <w:rPr>
      <w:rFonts w:ascii="Arial" w:eastAsia="Times New Roman" w:hAnsi="Arial" w:cs="Times New Roman"/>
      <w:b/>
      <w:bCs/>
      <w:sz w:val="20"/>
    </w:rPr>
  </w:style>
  <w:style w:type="character" w:styleId="Hyperlink">
    <w:name w:val="Hyperlink"/>
    <w:unhideWhenUsed/>
    <w:rsid w:val="00A8707F"/>
    <w:rPr>
      <w:rFonts w:ascii="Times New Roman" w:hAnsi="Times New Roman" w:cs="Times New Roman" w:hint="default"/>
      <w:color w:val="0000FF"/>
      <w:u w:val="single"/>
    </w:rPr>
  </w:style>
  <w:style w:type="paragraph" w:styleId="ListParagraph">
    <w:name w:val="List Paragraph"/>
    <w:basedOn w:val="Normal"/>
    <w:uiPriority w:val="34"/>
    <w:qFormat/>
    <w:rsid w:val="00B92784"/>
    <w:pPr>
      <w:ind w:left="720"/>
      <w:contextualSpacing/>
    </w:pPr>
  </w:style>
  <w:style w:type="paragraph" w:styleId="NormalWeb">
    <w:name w:val="Normal (Web)"/>
    <w:basedOn w:val="Normal"/>
    <w:uiPriority w:val="99"/>
    <w:unhideWhenUsed/>
    <w:rsid w:val="00B20E9C"/>
    <w:pPr>
      <w:spacing w:before="100" w:beforeAutospacing="1" w:after="100" w:afterAutospacing="1" w:line="300" w:lineRule="atLeast"/>
    </w:pPr>
    <w:rPr>
      <w:rFonts w:ascii="Times New Roman" w:eastAsia="Times New Roman" w:hAnsi="Times New Roman" w:cs="Times New Roman"/>
      <w:sz w:val="21"/>
      <w:szCs w:val="21"/>
      <w:lang w:eastAsia="en-GB"/>
    </w:rPr>
  </w:style>
  <w:style w:type="character" w:styleId="FollowedHyperlink">
    <w:name w:val="FollowedHyperlink"/>
    <w:basedOn w:val="DefaultParagraphFont"/>
    <w:uiPriority w:val="99"/>
    <w:semiHidden/>
    <w:unhideWhenUsed/>
    <w:rsid w:val="00EC7BAC"/>
    <w:rPr>
      <w:color w:val="800080" w:themeColor="followedHyperlink"/>
      <w:u w:val="single"/>
    </w:rPr>
  </w:style>
  <w:style w:type="character" w:customStyle="1" w:styleId="Heading4Char">
    <w:name w:val="Heading 4 Char"/>
    <w:basedOn w:val="DefaultParagraphFont"/>
    <w:link w:val="Heading4"/>
    <w:uiPriority w:val="9"/>
    <w:semiHidden/>
    <w:rsid w:val="00337B0F"/>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F8489F"/>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E65F70"/>
    <w:rPr>
      <w:color w:val="605E5C"/>
      <w:shd w:val="clear" w:color="auto" w:fill="E1DFDD"/>
    </w:rPr>
  </w:style>
  <w:style w:type="character" w:customStyle="1" w:styleId="normaltextrun">
    <w:name w:val="normaltextrun"/>
    <w:basedOn w:val="DefaultParagraphFont"/>
    <w:rsid w:val="00B64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534">
      <w:bodyDiv w:val="1"/>
      <w:marLeft w:val="0"/>
      <w:marRight w:val="0"/>
      <w:marTop w:val="0"/>
      <w:marBottom w:val="0"/>
      <w:divBdr>
        <w:top w:val="none" w:sz="0" w:space="0" w:color="auto"/>
        <w:left w:val="none" w:sz="0" w:space="0" w:color="auto"/>
        <w:bottom w:val="none" w:sz="0" w:space="0" w:color="auto"/>
        <w:right w:val="none" w:sz="0" w:space="0" w:color="auto"/>
      </w:divBdr>
    </w:div>
    <w:div w:id="84963299">
      <w:bodyDiv w:val="1"/>
      <w:marLeft w:val="0"/>
      <w:marRight w:val="0"/>
      <w:marTop w:val="0"/>
      <w:marBottom w:val="0"/>
      <w:divBdr>
        <w:top w:val="none" w:sz="0" w:space="0" w:color="auto"/>
        <w:left w:val="none" w:sz="0" w:space="0" w:color="auto"/>
        <w:bottom w:val="none" w:sz="0" w:space="0" w:color="auto"/>
        <w:right w:val="none" w:sz="0" w:space="0" w:color="auto"/>
      </w:divBdr>
    </w:div>
    <w:div w:id="306129486">
      <w:bodyDiv w:val="1"/>
      <w:marLeft w:val="0"/>
      <w:marRight w:val="0"/>
      <w:marTop w:val="0"/>
      <w:marBottom w:val="0"/>
      <w:divBdr>
        <w:top w:val="none" w:sz="0" w:space="0" w:color="auto"/>
        <w:left w:val="none" w:sz="0" w:space="0" w:color="auto"/>
        <w:bottom w:val="none" w:sz="0" w:space="0" w:color="auto"/>
        <w:right w:val="none" w:sz="0" w:space="0" w:color="auto"/>
      </w:divBdr>
    </w:div>
    <w:div w:id="482888063">
      <w:bodyDiv w:val="1"/>
      <w:marLeft w:val="0"/>
      <w:marRight w:val="0"/>
      <w:marTop w:val="0"/>
      <w:marBottom w:val="0"/>
      <w:divBdr>
        <w:top w:val="none" w:sz="0" w:space="0" w:color="auto"/>
        <w:left w:val="none" w:sz="0" w:space="0" w:color="auto"/>
        <w:bottom w:val="none" w:sz="0" w:space="0" w:color="auto"/>
        <w:right w:val="none" w:sz="0" w:space="0" w:color="auto"/>
      </w:divBdr>
    </w:div>
    <w:div w:id="551573245">
      <w:bodyDiv w:val="1"/>
      <w:marLeft w:val="0"/>
      <w:marRight w:val="0"/>
      <w:marTop w:val="0"/>
      <w:marBottom w:val="0"/>
      <w:divBdr>
        <w:top w:val="none" w:sz="0" w:space="0" w:color="auto"/>
        <w:left w:val="none" w:sz="0" w:space="0" w:color="auto"/>
        <w:bottom w:val="none" w:sz="0" w:space="0" w:color="auto"/>
        <w:right w:val="none" w:sz="0" w:space="0" w:color="auto"/>
      </w:divBdr>
    </w:div>
    <w:div w:id="649793391">
      <w:bodyDiv w:val="1"/>
      <w:marLeft w:val="0"/>
      <w:marRight w:val="0"/>
      <w:marTop w:val="0"/>
      <w:marBottom w:val="0"/>
      <w:divBdr>
        <w:top w:val="none" w:sz="0" w:space="0" w:color="auto"/>
        <w:left w:val="none" w:sz="0" w:space="0" w:color="auto"/>
        <w:bottom w:val="none" w:sz="0" w:space="0" w:color="auto"/>
        <w:right w:val="none" w:sz="0" w:space="0" w:color="auto"/>
      </w:divBdr>
    </w:div>
    <w:div w:id="769813404">
      <w:bodyDiv w:val="1"/>
      <w:marLeft w:val="0"/>
      <w:marRight w:val="0"/>
      <w:marTop w:val="0"/>
      <w:marBottom w:val="0"/>
      <w:divBdr>
        <w:top w:val="none" w:sz="0" w:space="0" w:color="auto"/>
        <w:left w:val="none" w:sz="0" w:space="0" w:color="auto"/>
        <w:bottom w:val="none" w:sz="0" w:space="0" w:color="auto"/>
        <w:right w:val="none" w:sz="0" w:space="0" w:color="auto"/>
      </w:divBdr>
    </w:div>
    <w:div w:id="787091579">
      <w:bodyDiv w:val="1"/>
      <w:marLeft w:val="0"/>
      <w:marRight w:val="0"/>
      <w:marTop w:val="0"/>
      <w:marBottom w:val="0"/>
      <w:divBdr>
        <w:top w:val="none" w:sz="0" w:space="0" w:color="auto"/>
        <w:left w:val="none" w:sz="0" w:space="0" w:color="auto"/>
        <w:bottom w:val="none" w:sz="0" w:space="0" w:color="auto"/>
        <w:right w:val="none" w:sz="0" w:space="0" w:color="auto"/>
      </w:divBdr>
    </w:div>
    <w:div w:id="856504390">
      <w:bodyDiv w:val="1"/>
      <w:marLeft w:val="0"/>
      <w:marRight w:val="0"/>
      <w:marTop w:val="0"/>
      <w:marBottom w:val="0"/>
      <w:divBdr>
        <w:top w:val="none" w:sz="0" w:space="0" w:color="auto"/>
        <w:left w:val="none" w:sz="0" w:space="0" w:color="auto"/>
        <w:bottom w:val="none" w:sz="0" w:space="0" w:color="auto"/>
        <w:right w:val="none" w:sz="0" w:space="0" w:color="auto"/>
      </w:divBdr>
    </w:div>
    <w:div w:id="881556124">
      <w:bodyDiv w:val="1"/>
      <w:marLeft w:val="0"/>
      <w:marRight w:val="0"/>
      <w:marTop w:val="0"/>
      <w:marBottom w:val="0"/>
      <w:divBdr>
        <w:top w:val="none" w:sz="0" w:space="0" w:color="auto"/>
        <w:left w:val="none" w:sz="0" w:space="0" w:color="auto"/>
        <w:bottom w:val="none" w:sz="0" w:space="0" w:color="auto"/>
        <w:right w:val="none" w:sz="0" w:space="0" w:color="auto"/>
      </w:divBdr>
    </w:div>
    <w:div w:id="964315395">
      <w:bodyDiv w:val="1"/>
      <w:marLeft w:val="0"/>
      <w:marRight w:val="0"/>
      <w:marTop w:val="0"/>
      <w:marBottom w:val="0"/>
      <w:divBdr>
        <w:top w:val="none" w:sz="0" w:space="0" w:color="auto"/>
        <w:left w:val="none" w:sz="0" w:space="0" w:color="auto"/>
        <w:bottom w:val="none" w:sz="0" w:space="0" w:color="auto"/>
        <w:right w:val="none" w:sz="0" w:space="0" w:color="auto"/>
      </w:divBdr>
    </w:div>
    <w:div w:id="986740901">
      <w:bodyDiv w:val="1"/>
      <w:marLeft w:val="0"/>
      <w:marRight w:val="0"/>
      <w:marTop w:val="0"/>
      <w:marBottom w:val="0"/>
      <w:divBdr>
        <w:top w:val="none" w:sz="0" w:space="0" w:color="auto"/>
        <w:left w:val="none" w:sz="0" w:space="0" w:color="auto"/>
        <w:bottom w:val="none" w:sz="0" w:space="0" w:color="auto"/>
        <w:right w:val="none" w:sz="0" w:space="0" w:color="auto"/>
      </w:divBdr>
    </w:div>
    <w:div w:id="1010108642">
      <w:bodyDiv w:val="1"/>
      <w:marLeft w:val="0"/>
      <w:marRight w:val="0"/>
      <w:marTop w:val="0"/>
      <w:marBottom w:val="0"/>
      <w:divBdr>
        <w:top w:val="none" w:sz="0" w:space="0" w:color="auto"/>
        <w:left w:val="none" w:sz="0" w:space="0" w:color="auto"/>
        <w:bottom w:val="none" w:sz="0" w:space="0" w:color="auto"/>
        <w:right w:val="none" w:sz="0" w:space="0" w:color="auto"/>
      </w:divBdr>
    </w:div>
    <w:div w:id="1031300553">
      <w:bodyDiv w:val="1"/>
      <w:marLeft w:val="0"/>
      <w:marRight w:val="0"/>
      <w:marTop w:val="0"/>
      <w:marBottom w:val="0"/>
      <w:divBdr>
        <w:top w:val="none" w:sz="0" w:space="0" w:color="auto"/>
        <w:left w:val="none" w:sz="0" w:space="0" w:color="auto"/>
        <w:bottom w:val="none" w:sz="0" w:space="0" w:color="auto"/>
        <w:right w:val="none" w:sz="0" w:space="0" w:color="auto"/>
      </w:divBdr>
    </w:div>
    <w:div w:id="1271280428">
      <w:bodyDiv w:val="1"/>
      <w:marLeft w:val="0"/>
      <w:marRight w:val="0"/>
      <w:marTop w:val="0"/>
      <w:marBottom w:val="0"/>
      <w:divBdr>
        <w:top w:val="none" w:sz="0" w:space="0" w:color="auto"/>
        <w:left w:val="none" w:sz="0" w:space="0" w:color="auto"/>
        <w:bottom w:val="none" w:sz="0" w:space="0" w:color="auto"/>
        <w:right w:val="none" w:sz="0" w:space="0" w:color="auto"/>
      </w:divBdr>
    </w:div>
    <w:div w:id="1318534574">
      <w:bodyDiv w:val="1"/>
      <w:marLeft w:val="0"/>
      <w:marRight w:val="0"/>
      <w:marTop w:val="0"/>
      <w:marBottom w:val="0"/>
      <w:divBdr>
        <w:top w:val="none" w:sz="0" w:space="0" w:color="auto"/>
        <w:left w:val="none" w:sz="0" w:space="0" w:color="auto"/>
        <w:bottom w:val="none" w:sz="0" w:space="0" w:color="auto"/>
        <w:right w:val="none" w:sz="0" w:space="0" w:color="auto"/>
      </w:divBdr>
    </w:div>
    <w:div w:id="1392383637">
      <w:bodyDiv w:val="1"/>
      <w:marLeft w:val="0"/>
      <w:marRight w:val="0"/>
      <w:marTop w:val="0"/>
      <w:marBottom w:val="0"/>
      <w:divBdr>
        <w:top w:val="none" w:sz="0" w:space="0" w:color="auto"/>
        <w:left w:val="none" w:sz="0" w:space="0" w:color="auto"/>
        <w:bottom w:val="none" w:sz="0" w:space="0" w:color="auto"/>
        <w:right w:val="none" w:sz="0" w:space="0" w:color="auto"/>
      </w:divBdr>
    </w:div>
    <w:div w:id="1583487794">
      <w:bodyDiv w:val="1"/>
      <w:marLeft w:val="0"/>
      <w:marRight w:val="0"/>
      <w:marTop w:val="0"/>
      <w:marBottom w:val="0"/>
      <w:divBdr>
        <w:top w:val="none" w:sz="0" w:space="0" w:color="auto"/>
        <w:left w:val="none" w:sz="0" w:space="0" w:color="auto"/>
        <w:bottom w:val="none" w:sz="0" w:space="0" w:color="auto"/>
        <w:right w:val="none" w:sz="0" w:space="0" w:color="auto"/>
      </w:divBdr>
    </w:div>
    <w:div w:id="1813474584">
      <w:bodyDiv w:val="1"/>
      <w:marLeft w:val="0"/>
      <w:marRight w:val="0"/>
      <w:marTop w:val="0"/>
      <w:marBottom w:val="0"/>
      <w:divBdr>
        <w:top w:val="none" w:sz="0" w:space="0" w:color="auto"/>
        <w:left w:val="none" w:sz="0" w:space="0" w:color="auto"/>
        <w:bottom w:val="none" w:sz="0" w:space="0" w:color="auto"/>
        <w:right w:val="none" w:sz="0" w:space="0" w:color="auto"/>
      </w:divBdr>
    </w:div>
    <w:div w:id="1924483307">
      <w:bodyDiv w:val="1"/>
      <w:marLeft w:val="0"/>
      <w:marRight w:val="0"/>
      <w:marTop w:val="0"/>
      <w:marBottom w:val="0"/>
      <w:divBdr>
        <w:top w:val="none" w:sz="0" w:space="0" w:color="auto"/>
        <w:left w:val="none" w:sz="0" w:space="0" w:color="auto"/>
        <w:bottom w:val="none" w:sz="0" w:space="0" w:color="auto"/>
        <w:right w:val="none" w:sz="0" w:space="0" w:color="auto"/>
      </w:divBdr>
    </w:div>
    <w:div w:id="1955014334">
      <w:bodyDiv w:val="1"/>
      <w:marLeft w:val="0"/>
      <w:marRight w:val="0"/>
      <w:marTop w:val="0"/>
      <w:marBottom w:val="0"/>
      <w:divBdr>
        <w:top w:val="none" w:sz="0" w:space="0" w:color="auto"/>
        <w:left w:val="none" w:sz="0" w:space="0" w:color="auto"/>
        <w:bottom w:val="none" w:sz="0" w:space="0" w:color="auto"/>
        <w:right w:val="none" w:sz="0" w:space="0" w:color="auto"/>
      </w:divBdr>
    </w:div>
    <w:div w:id="1995448358">
      <w:bodyDiv w:val="1"/>
      <w:marLeft w:val="0"/>
      <w:marRight w:val="0"/>
      <w:marTop w:val="0"/>
      <w:marBottom w:val="0"/>
      <w:divBdr>
        <w:top w:val="none" w:sz="0" w:space="0" w:color="auto"/>
        <w:left w:val="none" w:sz="0" w:space="0" w:color="auto"/>
        <w:bottom w:val="none" w:sz="0" w:space="0" w:color="auto"/>
        <w:right w:val="none" w:sz="0" w:space="0" w:color="auto"/>
      </w:divBdr>
    </w:div>
    <w:div w:id="21211439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morecambe-bay-investigation-report" TargetMode="External"/><Relationship Id="rId13" Type="http://schemas.openxmlformats.org/officeDocument/2006/relationships/hyperlink" Target="https://www.worcester.ac.uk/courses/nursing-mphilphd" TargetMode="External"/><Relationship Id="rId18" Type="http://schemas.openxmlformats.org/officeDocument/2006/relationships/hyperlink" Target="https://www.worcester.ac.uk/research/discover-our-research/culture-identity-and-social-exclusion.aspx"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worcester.ac.uk/courses/nursing-mphilphd" TargetMode="External"/><Relationship Id="rId7" Type="http://schemas.openxmlformats.org/officeDocument/2006/relationships/endnotes" Target="endnotes.xml"/><Relationship Id="rId12" Type="http://schemas.openxmlformats.org/officeDocument/2006/relationships/hyperlink" Target="https://www.gov.uk/government/publications/final-report-of-the-ockenden-review" TargetMode="External"/><Relationship Id="rId17" Type="http://schemas.openxmlformats.org/officeDocument/2006/relationships/hyperlink" Target="https://www.worcester.ac.uk/research/discover-our-research/digital-innovation.asp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worcester.ac.uk/research/discover-our-research/sustainable-futures.aspx" TargetMode="External"/><Relationship Id="rId20" Type="http://schemas.openxmlformats.org/officeDocument/2006/relationships/hyperlink" Target="https://www.worcester.ac.uk/courses/nursing-mphilph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ockenden-review-of-maternity-services-at-shrewsbury-and-telford-hospital-nhs-trus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orcester.ac.uk/research/discover-our-research/human-health-and-wellbeing.asp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england.nhs.uk/long-read/safe-learning-environment-charter/" TargetMode="External"/><Relationship Id="rId19" Type="http://schemas.openxmlformats.org/officeDocument/2006/relationships/hyperlink" Target="https://www.worcester.ac.uk/research/discover-our-research/professional-education.aspx" TargetMode="External"/><Relationship Id="rId4" Type="http://schemas.openxmlformats.org/officeDocument/2006/relationships/settings" Target="settings.xml"/><Relationship Id="rId9" Type="http://schemas.openxmlformats.org/officeDocument/2006/relationships/hyperlink" Target="https://www.gov.uk/government/publications/maternity-and-neonatal-services-in-east-kent-reading-the-signals-report" TargetMode="External"/><Relationship Id="rId14" Type="http://schemas.openxmlformats.org/officeDocument/2006/relationships/hyperlink" Target="https://www.worc.ac.uk/study/fees-and-finance/doctoral-loans.aspx"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F79AF-1464-4143-B234-7E63F510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1035</Words>
  <Characters>5906</Characters>
  <Application>Microsoft Office Word</Application>
  <DocSecurity>0</DocSecurity>
  <Lines>49</Lines>
  <Paragraphs>13</Paragraphs>
  <ScaleCrop>false</ScaleCrop>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Pre-registration health care students' experiences of the safe learning environment charter (Hope &amp; Norman)</dc:title>
  <dc:subject>
  </dc:subject>
  <dc:creator>Martin Price</dc:creator>
  <cp:keywords>
  </cp:keywords>
  <cp:lastModifiedBy>Zoe</cp:lastModifiedBy>
  <cp:revision>3</cp:revision>
  <cp:lastPrinted>2023-07-20T17:13:00Z</cp:lastPrinted>
  <dcterms:created xsi:type="dcterms:W3CDTF">2024-05-31T13:08:00Z</dcterms:created>
  <dcterms:modified xsi:type="dcterms:W3CDTF">2024-06-03T07:33:23Z</dcterms:modified>
</cp:coreProperties>
</file>