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7DA" w:rsidP="0015644F" w:rsidRDefault="003137DA" w14:paraId="268704AB" w14:textId="77777777">
      <w:pPr>
        <w:jc w:val="center"/>
      </w:pPr>
      <w:r>
        <w:t>SELF-FUNDED PHD OPPORTUNITY</w:t>
      </w:r>
    </w:p>
    <w:p w:rsidRPr="00A824BA" w:rsidR="003137DA" w:rsidP="0015644F" w:rsidRDefault="003137DA" w14:paraId="1743119D" w14:textId="6C7353B1">
      <w:pPr>
        <w:jc w:val="center"/>
        <w:rPr>
          <w:b/>
          <w:bCs/>
        </w:rPr>
      </w:pPr>
      <w:r w:rsidRPr="00A824BA">
        <w:rPr>
          <w:b/>
          <w:bCs/>
        </w:rPr>
        <w:t>Living with allergy during the transition to secondary school</w:t>
      </w:r>
    </w:p>
    <w:p w:rsidR="0015644F" w:rsidP="0015644F" w:rsidRDefault="003137DA" w14:paraId="7F6F7C72" w14:textId="537B00E7">
      <w:pPr>
        <w:spacing w:after="0"/>
      </w:pPr>
      <w:r>
        <w:t>Allergy, the immune system’s hypersensitive reaction to typically harmless substances, can be severe and lead to a potentially life-threatening reaction or anaphylaxis (Turner et al, 2019). Allergy prevalence is a global “major public health issue” (Sánchez-Borges et al, 2018, p.1), and one of the most common chronic conditions in Europe (Muraro, 2015). The UK particularly faces an allergy crisis</w:t>
      </w:r>
      <w:r w:rsidR="0015644F">
        <w:t>. UK allergy r</w:t>
      </w:r>
      <w:r>
        <w:t xml:space="preserve">ates amongst adults and children are some of the highest in Europe (APPG, October 2021; Sigurdardottir et al, 2021). </w:t>
      </w:r>
      <w:r w:rsidR="0015644F">
        <w:t>A</w:t>
      </w:r>
      <w:r>
        <w:t>llergy can develop across the lifespan</w:t>
      </w:r>
      <w:r w:rsidR="0015644F">
        <w:t xml:space="preserve"> but i</w:t>
      </w:r>
      <w:r>
        <w:t>s common in childhood and can become lifelong (Chan et al, 2020; Waserman &amp; Wason, 2001). Allergy prevalence is difficult to estimate, especially among children</w:t>
      </w:r>
      <w:r w:rsidR="0015644F">
        <w:t xml:space="preserve"> </w:t>
      </w:r>
      <w:r>
        <w:t xml:space="preserve">(Grabenhenrich et al, 2020). Nevertheless, estimates suggest </w:t>
      </w:r>
      <w:r w:rsidR="0028243A">
        <w:t xml:space="preserve">proven and undiagnosed </w:t>
      </w:r>
      <w:r>
        <w:t>allergy prevalence among UK school age children is high</w:t>
      </w:r>
      <w:r w:rsidR="0028243A">
        <w:t xml:space="preserve"> </w:t>
      </w:r>
      <w:r>
        <w:t xml:space="preserve">(APPG, 2021), and 10% of primary school age with proven or undiagnosed allergic multimorbidity (Sigurdardottir et al, 2021). For </w:t>
      </w:r>
      <w:r w:rsidR="0028243A">
        <w:t xml:space="preserve">these </w:t>
      </w:r>
      <w:r>
        <w:t xml:space="preserve">children and their families, living with </w:t>
      </w:r>
      <w:r w:rsidR="0028243A">
        <w:t>allergy</w:t>
      </w:r>
      <w:r>
        <w:t xml:space="preserve"> has health, economic, and psychosocial costs (Grabenhenrich et al, 2020; Subramanain et al, 2021; Walker, 2007). </w:t>
      </w:r>
      <w:r w:rsidR="0028243A">
        <w:t xml:space="preserve">Importantly, </w:t>
      </w:r>
      <w:r>
        <w:t xml:space="preserve">allergy’s adverse impact on children’s educational attainment and school experience is robust (e.g., Champaloux &amp; Young, 2015; Fong et al, 2018; Newman et al, 2022; von Kobyletzki et al, 2017). Consequently, understanding factors influencing management of </w:t>
      </w:r>
      <w:r w:rsidR="0028243A">
        <w:t xml:space="preserve">allergy in children </w:t>
      </w:r>
      <w:r>
        <w:t xml:space="preserve">is important (BSACI, nd). </w:t>
      </w:r>
    </w:p>
    <w:p w:rsidR="003137DA" w:rsidP="0015644F" w:rsidRDefault="003137DA" w14:paraId="0307651E" w14:textId="18F6EFEF">
      <w:pPr>
        <w:spacing w:after="0"/>
        <w:ind w:firstLine="720"/>
      </w:pPr>
      <w:r>
        <w:t>Adult carers (parents and schoolteachers) implement a young person’s allergy</w:t>
      </w:r>
      <w:r w:rsidR="0015644F">
        <w:t xml:space="preserve"> management</w:t>
      </w:r>
      <w:r>
        <w:t xml:space="preserve"> action plan including strategies in the event of severe or potentially life-threatening anaphylactic reaction (NICE, 2020; 2018). Research on ways of avoiding and responding to allergy-related medical emergencies among young people </w:t>
      </w:r>
      <w:r w:rsidR="00DA1DE2">
        <w:t xml:space="preserve">focuses on </w:t>
      </w:r>
      <w:r>
        <w:t>two transition points (Kaplan, 2022; Sanagavarapu, 2017; 2016; 2012): the transition to school</w:t>
      </w:r>
      <w:r w:rsidR="0015644F">
        <w:t>,</w:t>
      </w:r>
      <w:r>
        <w:t xml:space="preserve"> and from adolescence to adulthood. Yet, UK research on children’s transitions from primary to secondary school is </w:t>
      </w:r>
      <w:r w:rsidR="00A95B05">
        <w:t>s</w:t>
      </w:r>
      <w:r w:rsidR="009C3D73">
        <w:t>parse</w:t>
      </w:r>
      <w:r>
        <w:t xml:space="preserve"> (Newman, 2022) despite </w:t>
      </w:r>
      <w:r w:rsidR="0015644F">
        <w:t>known psychosocial challenges th</w:t>
      </w:r>
      <w:r w:rsidR="00DA1DE2">
        <w:t>is</w:t>
      </w:r>
      <w:r w:rsidR="0015644F">
        <w:t xml:space="preserve"> transition represents for children in general </w:t>
      </w:r>
      <w:r>
        <w:t>(Coffey, 2013)</w:t>
      </w:r>
      <w:r w:rsidR="0015644F">
        <w:t>.</w:t>
      </w:r>
      <w:r>
        <w:t xml:space="preserve"> </w:t>
      </w:r>
    </w:p>
    <w:p w:rsidR="003137DA" w:rsidP="0015644F" w:rsidRDefault="003137DA" w14:paraId="4DBEE266" w14:textId="30DE9308">
      <w:pPr>
        <w:ind w:firstLine="720"/>
      </w:pPr>
      <w:r>
        <w:t>We are looking for a PhD student to develop a qualitative or mixed methods study to enhance our understanding of the experiences of children living with proven and undiagnosed</w:t>
      </w:r>
      <w:r w:rsidR="00DA1DE2">
        <w:t xml:space="preserve"> allergy</w:t>
      </w:r>
      <w:r>
        <w:t xml:space="preserve"> before and after the transition from primary to secondary school. This multi-disciplinary, collaborative study will </w:t>
      </w:r>
      <w:r w:rsidR="00A95B05">
        <w:t>run</w:t>
      </w:r>
      <w:r>
        <w:t xml:space="preserve"> across both UW, NHS</w:t>
      </w:r>
      <w:r w:rsidR="00B471D6">
        <w:t>,</w:t>
      </w:r>
      <w:r>
        <w:t xml:space="preserve"> and school environments, offering an opportunity for the successful applicant to develop an applied, impactful research study which could inform policy and practice within schools and NHS Trusts.</w:t>
      </w:r>
    </w:p>
    <w:p w:rsidRPr="00ED58F4" w:rsidR="003137DA" w:rsidP="00B471D6" w:rsidRDefault="003137DA" w14:paraId="2F004D3B" w14:textId="77777777">
      <w:pPr>
        <w:spacing w:after="0"/>
        <w:rPr>
          <w:b/>
          <w:bCs/>
        </w:rPr>
      </w:pPr>
      <w:r w:rsidRPr="00ED58F4">
        <w:rPr>
          <w:b/>
          <w:bCs/>
        </w:rPr>
        <w:t xml:space="preserve">Supervisory Team </w:t>
      </w:r>
    </w:p>
    <w:p w:rsidR="003137DA" w:rsidP="00B471D6" w:rsidRDefault="003137DA" w14:paraId="399FA9AD" w14:textId="77777777">
      <w:pPr>
        <w:spacing w:after="0"/>
      </w:pPr>
      <w:r>
        <w:t>Dr Bere Mahoney, Principal Lecturer in Psychology and Social Science Lead for the Three Counties Medical School.</w:t>
      </w:r>
    </w:p>
    <w:p w:rsidR="00DB3D7C" w:rsidP="003137DA" w:rsidRDefault="003137DA" w14:paraId="695E0035" w14:textId="3D3D1223">
      <w:r>
        <w:t>Professor Eleanor Bradley, Director of Research and Knowledge Exchange for the College of Health and Science.</w:t>
      </w:r>
    </w:p>
    <w:p w:rsidRPr="007F60AE" w:rsidR="003137DA" w:rsidP="003137DA" w:rsidRDefault="003137DA" w14:paraId="3AC4F7EC" w14:textId="77777777">
      <w:pPr>
        <w:spacing w:after="0" w:line="240" w:lineRule="auto"/>
        <w:jc w:val="both"/>
        <w:rPr>
          <w:rFonts w:cstheme="minorHAnsi"/>
          <w:b/>
        </w:rPr>
      </w:pPr>
      <w:r w:rsidRPr="007F60AE">
        <w:rPr>
          <w:rFonts w:cstheme="minorHAnsi"/>
          <w:b/>
        </w:rPr>
        <w:t>References</w:t>
      </w:r>
    </w:p>
    <w:p w:rsidRPr="007F60AE" w:rsidR="003137DA" w:rsidP="003137DA" w:rsidRDefault="003137DA" w14:paraId="3167FDE4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APPG (October, 2021) </w:t>
      </w:r>
      <w:r w:rsidRPr="007F60AE">
        <w:rPr>
          <w:rFonts w:cstheme="minorHAnsi"/>
          <w:i/>
          <w:iCs/>
        </w:rPr>
        <w:t>Meeting the challenges of the National Allergy Crisis A report from the All Party Parliamentary Group for Allergy and the National Allergy Strategy Group</w:t>
      </w:r>
      <w:r w:rsidRPr="007F60AE">
        <w:rPr>
          <w:rFonts w:cstheme="minorHAnsi"/>
        </w:rPr>
        <w:t xml:space="preserve">. </w:t>
      </w:r>
      <w:hyperlink w:history="1" r:id="rId9">
        <w:r w:rsidRPr="007F60AE">
          <w:rPr>
            <w:rStyle w:val="Hyperlink"/>
            <w:rFonts w:cstheme="minorHAnsi"/>
          </w:rPr>
          <w:t>https://www.bsaci.org/wp-content/uploads/2021/10/Meeting-the-challenges-of-the-national-allergy-crisis-2021.pdf</w:t>
        </w:r>
      </w:hyperlink>
    </w:p>
    <w:p w:rsidRPr="007F60AE" w:rsidR="003137DA" w:rsidP="003137DA" w:rsidRDefault="003137DA" w14:paraId="7D83CF8B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BSACI (nd) </w:t>
      </w:r>
      <w:r w:rsidRPr="007F60AE">
        <w:rPr>
          <w:rFonts w:cstheme="minorHAnsi"/>
          <w:i/>
          <w:iCs/>
        </w:rPr>
        <w:t>Allergy Organisations join together to launch new guidelines to safeguard pupils with severe allergies while they are at school</w:t>
      </w:r>
      <w:r w:rsidRPr="007F60AE">
        <w:rPr>
          <w:rFonts w:cstheme="minorHAnsi"/>
        </w:rPr>
        <w:t xml:space="preserve"> </w:t>
      </w:r>
      <w:hyperlink w:history="1" r:id="rId10">
        <w:r w:rsidRPr="007F60AE">
          <w:rPr>
            <w:rStyle w:val="Hyperlink"/>
            <w:rFonts w:cstheme="minorHAnsi"/>
          </w:rPr>
          <w:t>https://www.bsaci.org/allergy-organisations-join-together-to-launch-new-guidelines-to-safeguard-pupils-with-severe-allergies-while-they-are-at-school/</w:t>
        </w:r>
      </w:hyperlink>
    </w:p>
    <w:p w:rsidRPr="007F60AE" w:rsidR="003137DA" w:rsidP="003137DA" w:rsidRDefault="003137DA" w14:paraId="44BDFEC8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>Champaloux, S. W., &amp; Young, D. R. (2015). Childhood chronic health conditions and educational attainment: a social ecological approach. </w:t>
      </w:r>
      <w:r w:rsidRPr="007F60AE">
        <w:rPr>
          <w:rFonts w:cstheme="minorHAnsi"/>
          <w:i/>
        </w:rPr>
        <w:t>Journal of Adolescent Health</w:t>
      </w:r>
      <w:r w:rsidRPr="007F60AE">
        <w:rPr>
          <w:rFonts w:cstheme="minorHAnsi"/>
        </w:rPr>
        <w:t>, </w:t>
      </w:r>
      <w:r w:rsidRPr="007F60AE">
        <w:rPr>
          <w:rFonts w:cstheme="minorHAnsi"/>
          <w:i/>
        </w:rPr>
        <w:t>56</w:t>
      </w:r>
      <w:r w:rsidRPr="007F60AE">
        <w:rPr>
          <w:rFonts w:cstheme="minorHAnsi"/>
        </w:rPr>
        <w:t>(1), 98-105.</w:t>
      </w:r>
    </w:p>
    <w:p w:rsidRPr="007F60AE" w:rsidR="003137DA" w:rsidP="003137DA" w:rsidRDefault="003137DA" w14:paraId="47E41F17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lastRenderedPageBreak/>
        <w:t xml:space="preserve">Chan, E. S., Dinakar, C., Gonzales-Reyes, E., Green, T. D., Gupta, R., Jones, D., ... &amp; Greenhawt, M. (2020). Unmet needs of children with peanut allergy: aligning the risks and the evidence. </w:t>
      </w:r>
      <w:r w:rsidRPr="007F60AE">
        <w:rPr>
          <w:rFonts w:cstheme="minorHAnsi"/>
          <w:i/>
          <w:iCs/>
        </w:rPr>
        <w:t>Annals of Allergy, Asthma &amp; Immunology, 124</w:t>
      </w:r>
      <w:r w:rsidRPr="007F60AE">
        <w:rPr>
          <w:rFonts w:cstheme="minorHAnsi"/>
        </w:rPr>
        <w:t>(5), 479-486.</w:t>
      </w:r>
    </w:p>
    <w:p w:rsidRPr="007F60AE" w:rsidR="003137DA" w:rsidP="003137DA" w:rsidRDefault="003137DA" w14:paraId="1589866E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Coffey, A. (2013). Relationships: The key to successful transition from primary to secondary school? </w:t>
      </w:r>
      <w:r w:rsidRPr="007F60AE">
        <w:rPr>
          <w:rFonts w:cstheme="minorHAnsi"/>
          <w:i/>
        </w:rPr>
        <w:t>Improving Schools</w:t>
      </w:r>
      <w:r w:rsidRPr="007F60AE">
        <w:rPr>
          <w:rFonts w:cstheme="minorHAnsi"/>
        </w:rPr>
        <w:t xml:space="preserve">, </w:t>
      </w:r>
      <w:r w:rsidRPr="007F60AE">
        <w:rPr>
          <w:rFonts w:cstheme="minorHAnsi"/>
          <w:i/>
          <w:iCs/>
        </w:rPr>
        <w:t>16</w:t>
      </w:r>
      <w:r w:rsidRPr="007F60AE">
        <w:rPr>
          <w:rFonts w:cstheme="minorHAnsi"/>
        </w:rPr>
        <w:t xml:space="preserve">, 261 </w:t>
      </w:r>
    </w:p>
    <w:p w:rsidRPr="007F60AE" w:rsidR="003137DA" w:rsidP="003137DA" w:rsidRDefault="003137DA" w14:paraId="57F6F1F7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Fong, A. T., Katelaris, C. H., &amp; Wainstein, B. K. (2018). Bullying in Australian children and adolescents with food allergies. </w:t>
      </w:r>
      <w:r w:rsidRPr="007F60AE">
        <w:rPr>
          <w:rFonts w:cstheme="minorHAnsi"/>
          <w:i/>
          <w:iCs/>
        </w:rPr>
        <w:t>Pediatric allergy and immunology, 29</w:t>
      </w:r>
      <w:r w:rsidRPr="007F60AE">
        <w:rPr>
          <w:rFonts w:cstheme="minorHAnsi"/>
        </w:rPr>
        <w:t>(7), 740-746.</w:t>
      </w:r>
    </w:p>
    <w:p w:rsidRPr="007F60AE" w:rsidR="003137DA" w:rsidP="003137DA" w:rsidRDefault="003137DA" w14:paraId="37AD7FED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Grabenhenrich, L., Trendelenburg, V., Bellach, J., Yürek, S., Reich, A., Fiandor, A., ... &amp; Beyer, K. (2020). Frequency of food allergy in school‐aged children in eight European countries—The EuroPrevall‐iFAAM birth cohort. </w:t>
      </w:r>
      <w:r w:rsidRPr="007F60AE">
        <w:rPr>
          <w:rFonts w:cstheme="minorHAnsi"/>
          <w:i/>
          <w:iCs/>
        </w:rPr>
        <w:t>Allergy, 75</w:t>
      </w:r>
      <w:r w:rsidRPr="007F60AE">
        <w:rPr>
          <w:rFonts w:cstheme="minorHAnsi"/>
        </w:rPr>
        <w:t>(9), 2294-2308.</w:t>
      </w:r>
    </w:p>
    <w:p w:rsidRPr="007F60AE" w:rsidR="003137DA" w:rsidP="003137DA" w:rsidRDefault="003137DA" w14:paraId="16116FDB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Kaplan, G., Mart, S., &amp; Diken, İ. H. (2022). Transition to school process of children with disadvantages: A literature review. </w:t>
      </w:r>
      <w:r w:rsidRPr="007F60AE">
        <w:rPr>
          <w:rFonts w:cstheme="minorHAnsi"/>
          <w:i/>
          <w:iCs/>
        </w:rPr>
        <w:t>Journal of Childhood, Education &amp; Society, 3</w:t>
      </w:r>
      <w:r w:rsidRPr="007F60AE">
        <w:rPr>
          <w:rFonts w:cstheme="minorHAnsi"/>
        </w:rPr>
        <w:t>(1), 28-47.</w:t>
      </w:r>
    </w:p>
    <w:p w:rsidRPr="007F60AE" w:rsidR="003137DA" w:rsidP="003137DA" w:rsidRDefault="003137DA" w14:paraId="35FCE659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Muraro, A. (2015). </w:t>
      </w:r>
      <w:r w:rsidRPr="007F60AE">
        <w:rPr>
          <w:rFonts w:cstheme="minorHAnsi"/>
          <w:i/>
          <w:iCs/>
        </w:rPr>
        <w:t>The European Academy of Allergy and Clinical Immunology (EAACI). Advocacy Manifesto. Tackling the Allergy Crisis in Europe-Concerted Policy Action Needed</w:t>
      </w:r>
      <w:r w:rsidRPr="007F60AE">
        <w:rPr>
          <w:rFonts w:cstheme="minorHAnsi"/>
        </w:rPr>
        <w:t>. EAACI—EU Liaison Office.</w:t>
      </w:r>
    </w:p>
    <w:p w:rsidRPr="007F60AE" w:rsidR="003137DA" w:rsidP="003137DA" w:rsidRDefault="003137DA" w14:paraId="421DAA3E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Newman, K. L., Chater, A., &amp; Knibb, R. C. (2022). Beliefs about food allergies in adolescents aged 11–19 years: A systematic review. </w:t>
      </w:r>
      <w:r w:rsidRPr="007F60AE">
        <w:rPr>
          <w:rFonts w:cstheme="minorHAnsi"/>
          <w:i/>
          <w:iCs/>
        </w:rPr>
        <w:t>Clinical and Translational Allergy, 12</w:t>
      </w:r>
      <w:r w:rsidRPr="007F60AE">
        <w:rPr>
          <w:rFonts w:cstheme="minorHAnsi"/>
        </w:rPr>
        <w:t>(4), e12142.</w:t>
      </w:r>
    </w:p>
    <w:p w:rsidRPr="007F60AE" w:rsidR="003137DA" w:rsidP="003137DA" w:rsidRDefault="003137DA" w14:paraId="0718D210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NICE (2020) </w:t>
      </w:r>
      <w:r w:rsidRPr="007F60AE">
        <w:rPr>
          <w:rFonts w:cstheme="minorHAnsi"/>
          <w:i/>
          <w:iCs/>
        </w:rPr>
        <w:t>Anaphylaxis: assessment and referral after emergency treatment</w:t>
      </w:r>
      <w:r w:rsidRPr="007F60AE">
        <w:rPr>
          <w:rFonts w:cstheme="minorHAnsi"/>
        </w:rPr>
        <w:t xml:space="preserve">. </w:t>
      </w:r>
      <w:hyperlink w:history="1" r:id="rId11">
        <w:r w:rsidRPr="007F60AE">
          <w:rPr>
            <w:rStyle w:val="Hyperlink"/>
            <w:rFonts w:cstheme="minorHAnsi"/>
          </w:rPr>
          <w:t>www.nice.org.uk/guidance/cg134</w:t>
        </w:r>
      </w:hyperlink>
    </w:p>
    <w:p w:rsidRPr="007F60AE" w:rsidR="003137DA" w:rsidP="003137DA" w:rsidRDefault="003137DA" w14:paraId="5E3F5281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NICE (2018) </w:t>
      </w:r>
      <w:r w:rsidRPr="007F60AE">
        <w:rPr>
          <w:rFonts w:cstheme="minorHAnsi"/>
          <w:i/>
          <w:iCs/>
        </w:rPr>
        <w:t>Food allergy in under 19s: assessment and diagnosis</w:t>
      </w:r>
      <w:r w:rsidRPr="007F60AE">
        <w:rPr>
          <w:rFonts w:cstheme="minorHAnsi"/>
        </w:rPr>
        <w:t xml:space="preserve">. </w:t>
      </w:r>
      <w:hyperlink w:history="1" r:id="rId12">
        <w:r w:rsidRPr="007F60AE">
          <w:rPr>
            <w:rStyle w:val="Hyperlink"/>
            <w:rFonts w:cstheme="minorHAnsi"/>
          </w:rPr>
          <w:t>www.nice.org.uk/guidance/cg116</w:t>
        </w:r>
      </w:hyperlink>
    </w:p>
    <w:p w:rsidRPr="007F60AE" w:rsidR="003137DA" w:rsidP="003137DA" w:rsidRDefault="003137DA" w14:paraId="3E4CFC86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Sanagavarapu, P. (2017). Young children’s knowledge of food allergy and transition to school. </w:t>
      </w:r>
      <w:r w:rsidRPr="007F60AE">
        <w:rPr>
          <w:rFonts w:cstheme="minorHAnsi"/>
          <w:i/>
          <w:iCs/>
        </w:rPr>
        <w:t>Cogent Education, 4</w:t>
      </w:r>
      <w:r w:rsidRPr="007F60AE">
        <w:rPr>
          <w:rFonts w:cstheme="minorHAnsi"/>
        </w:rPr>
        <w:t>(1), 1304617.</w:t>
      </w:r>
    </w:p>
    <w:p w:rsidRPr="007F60AE" w:rsidR="003137DA" w:rsidP="003137DA" w:rsidRDefault="003137DA" w14:paraId="2A807C78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Sanagavarapu, P., Said, M., Katelaris, C., &amp; Wainstein, B. (2016). Transition to school anxiety for mothers of children with food allergy: Implications for educators. </w:t>
      </w:r>
      <w:r w:rsidRPr="007F60AE">
        <w:rPr>
          <w:rFonts w:cstheme="minorHAnsi"/>
          <w:i/>
          <w:iCs/>
        </w:rPr>
        <w:t>Australasian Journal of Early Childhood, 41</w:t>
      </w:r>
      <w:r w:rsidRPr="007F60AE">
        <w:rPr>
          <w:rFonts w:cstheme="minorHAnsi"/>
        </w:rPr>
        <w:t>(4), 115-122.</w:t>
      </w:r>
    </w:p>
    <w:p w:rsidRPr="007F60AE" w:rsidR="003137DA" w:rsidP="003137DA" w:rsidRDefault="003137DA" w14:paraId="1E33CEA1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Sanagavarapu, P. (2012). Don't forget to pack my EpiPen® please: What issues does food allergy present for children's starting school? </w:t>
      </w:r>
      <w:r w:rsidRPr="007F60AE">
        <w:rPr>
          <w:rFonts w:cstheme="minorHAnsi"/>
          <w:i/>
          <w:iCs/>
        </w:rPr>
        <w:t>Australasian Journal of Early Childhood, 37</w:t>
      </w:r>
      <w:r w:rsidRPr="007F60AE">
        <w:rPr>
          <w:rFonts w:cstheme="minorHAnsi"/>
        </w:rPr>
        <w:t>(2), 56-62.</w:t>
      </w:r>
    </w:p>
    <w:p w:rsidRPr="007F60AE" w:rsidR="003137DA" w:rsidP="003137DA" w:rsidRDefault="003137DA" w14:paraId="448AB175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Sigurdardottir, S. T., Jonasson, K., Clausen, M., Lilja Bjornsdottir, K., Sigurdardottir, S. E., Roberts, G., ... &amp; Keil, T. (2021). Prevalence and early‐life risk factors of school‐age allergic multimorbidity: The EuroPrevall‐iFAAM birth cohort. </w:t>
      </w:r>
      <w:r w:rsidRPr="007F60AE">
        <w:rPr>
          <w:rFonts w:cstheme="minorHAnsi"/>
          <w:i/>
          <w:iCs/>
        </w:rPr>
        <w:t>Allergy, 76</w:t>
      </w:r>
      <w:r w:rsidRPr="007F60AE">
        <w:rPr>
          <w:rFonts w:cstheme="minorHAnsi"/>
        </w:rPr>
        <w:t>(9), 2855-2865.</w:t>
      </w:r>
    </w:p>
    <w:p w:rsidRPr="007F60AE" w:rsidR="003137DA" w:rsidP="003137DA" w:rsidRDefault="003137DA" w14:paraId="17C6AD79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Sánchez-Borges, M., Martin, B. L., Muraro, A. M., Wood, R. A., Agache, I. O., Ansotegui, I. J., ... &amp; Rosenwasser, L. (2018). The importance of allergic disease in public health: an iCAALL statement. </w:t>
      </w:r>
      <w:r w:rsidRPr="007F60AE">
        <w:rPr>
          <w:rFonts w:cstheme="minorHAnsi"/>
          <w:i/>
          <w:iCs/>
        </w:rPr>
        <w:t>World Allergy Organization Journal, 11</w:t>
      </w:r>
      <w:r w:rsidRPr="007F60AE">
        <w:rPr>
          <w:rFonts w:cstheme="minorHAnsi"/>
        </w:rPr>
        <w:t>(1), 1-3.</w:t>
      </w:r>
    </w:p>
    <w:p w:rsidRPr="007F60AE" w:rsidR="003137DA" w:rsidP="003137DA" w:rsidRDefault="003137DA" w14:paraId="3BF9B7E0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Subramanian, A., Adderley, N. J., Gkoutos, G. V., Gokhale, K. M., Nirantharakumar, K., &amp; Krishna, M. T. (2021). Ethnicity-based differences in the incident risk of allergic diseases and autoimmune disorders: a UK-based retrospective cohort study of 4.4 million participants. </w:t>
      </w:r>
      <w:r w:rsidRPr="007F60AE">
        <w:rPr>
          <w:rFonts w:cstheme="minorHAnsi"/>
          <w:i/>
          <w:iCs/>
        </w:rPr>
        <w:t>Clin Exp Allergy, 51</w:t>
      </w:r>
      <w:r w:rsidRPr="007F60AE">
        <w:rPr>
          <w:rFonts w:cstheme="minorHAnsi"/>
        </w:rPr>
        <w:t>(1), 144-7.</w:t>
      </w:r>
    </w:p>
    <w:p w:rsidRPr="007F60AE" w:rsidR="003137DA" w:rsidP="003137DA" w:rsidRDefault="003137DA" w14:paraId="760FD9B3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Turner, P. J., Worm, M., Ansotegui, I. J., El-Gamal, Y., Rivas, M. F., Fineman, S., Geller, M., Gonzalez-Estrada, A., Greenberger, P. A., Tanno, L. K., Borges, M. S., Senna, G., Sheikh, A., Thong, B. Y., Ebisawa, M., Cardona, V., &amp; WAO Anaphylaxis Committee (2019). Time to revisit the definition and clinical criteria for anaphylaxis?. </w:t>
      </w:r>
      <w:r w:rsidRPr="007F60AE">
        <w:rPr>
          <w:rFonts w:cstheme="minorHAnsi"/>
          <w:i/>
          <w:iCs/>
        </w:rPr>
        <w:t>The World Allergy Organization journal, 12</w:t>
      </w:r>
      <w:r w:rsidRPr="007F60AE">
        <w:rPr>
          <w:rFonts w:cstheme="minorHAnsi"/>
        </w:rPr>
        <w:t xml:space="preserve">(10), 100066. </w:t>
      </w:r>
      <w:hyperlink w:history="1" r:id="rId13">
        <w:r w:rsidRPr="007F60AE">
          <w:rPr>
            <w:rStyle w:val="Hyperlink"/>
            <w:rFonts w:cstheme="minorHAnsi"/>
          </w:rPr>
          <w:t>https://doi.org/10.1016/j.waojou.2019.100066</w:t>
        </w:r>
      </w:hyperlink>
      <w:r w:rsidRPr="007F60AE">
        <w:rPr>
          <w:rFonts w:cstheme="minorHAnsi"/>
        </w:rPr>
        <w:t>.</w:t>
      </w:r>
    </w:p>
    <w:p w:rsidRPr="007F60AE" w:rsidR="003137DA" w:rsidP="003137DA" w:rsidRDefault="003137DA" w14:paraId="591F9340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>van Rens, M., Haelermans, C., Groot, W., &amp; Maassen van den Brink, H. (2018). Facilitating a successful transition to secondary school:(how) does it work? A systematic literature review. </w:t>
      </w:r>
      <w:r w:rsidRPr="007F60AE">
        <w:rPr>
          <w:rFonts w:cstheme="minorHAnsi"/>
          <w:i/>
        </w:rPr>
        <w:t>Adolescent Research Review</w:t>
      </w:r>
      <w:r w:rsidRPr="007F60AE">
        <w:rPr>
          <w:rFonts w:cstheme="minorHAnsi"/>
        </w:rPr>
        <w:t>, </w:t>
      </w:r>
      <w:r w:rsidRPr="007F60AE">
        <w:rPr>
          <w:rFonts w:cstheme="minorHAnsi"/>
          <w:i/>
        </w:rPr>
        <w:t>3</w:t>
      </w:r>
      <w:r w:rsidRPr="007F60AE">
        <w:rPr>
          <w:rFonts w:cstheme="minorHAnsi"/>
        </w:rPr>
        <w:t>(1), 43-56.</w:t>
      </w:r>
    </w:p>
    <w:p w:rsidRPr="007F60AE" w:rsidR="003137DA" w:rsidP="003137DA" w:rsidRDefault="003137DA" w14:paraId="2B60D565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Walker, S., Khan-Wasti, S., Fletcher, M., Cullinan, P., Harris, J., &amp; Sheikh, A. (2007). Seasonal allergic rhinitis is associated with a detrimental effect on examination performance in United Kingdom teenagers: case-control study. </w:t>
      </w:r>
      <w:r w:rsidRPr="007F60AE">
        <w:rPr>
          <w:rFonts w:cstheme="minorHAnsi"/>
          <w:i/>
          <w:iCs/>
        </w:rPr>
        <w:t>Journal of Allergy and Clinical Immunology, 120</w:t>
      </w:r>
      <w:r w:rsidRPr="007F60AE">
        <w:rPr>
          <w:rFonts w:cstheme="minorHAnsi"/>
        </w:rPr>
        <w:t>(2), 381-387.</w:t>
      </w:r>
    </w:p>
    <w:p w:rsidRPr="007F60AE" w:rsidR="003137DA" w:rsidP="003137DA" w:rsidRDefault="003137DA" w14:paraId="3CE740AF" w14:textId="77777777">
      <w:pPr>
        <w:spacing w:after="0" w:line="240" w:lineRule="auto"/>
        <w:jc w:val="both"/>
        <w:rPr>
          <w:rFonts w:cstheme="minorHAnsi"/>
        </w:rPr>
      </w:pPr>
      <w:r w:rsidRPr="007F60AE">
        <w:rPr>
          <w:rFonts w:cstheme="minorHAnsi"/>
        </w:rPr>
        <w:t xml:space="preserve">Waserman, S., &amp; Watson, W. (2011). Food allergy. </w:t>
      </w:r>
      <w:r w:rsidRPr="007F60AE">
        <w:rPr>
          <w:rFonts w:cstheme="minorHAnsi"/>
          <w:i/>
          <w:iCs/>
        </w:rPr>
        <w:t>Allergy, Asthma &amp; Clinical Immunology, 7</w:t>
      </w:r>
      <w:r w:rsidRPr="007F60AE">
        <w:rPr>
          <w:rFonts w:cstheme="minorHAnsi"/>
        </w:rPr>
        <w:t>(1), 1-7.</w:t>
      </w:r>
    </w:p>
    <w:p w:rsidRPr="007F60AE" w:rsidR="003137DA" w:rsidP="003137DA" w:rsidRDefault="003137DA" w14:paraId="0EA94DDF" w14:textId="77777777">
      <w:pPr>
        <w:spacing w:after="0" w:line="240" w:lineRule="auto"/>
        <w:jc w:val="both"/>
        <w:rPr>
          <w:rFonts w:cstheme="minorHAnsi"/>
        </w:rPr>
      </w:pPr>
    </w:p>
    <w:p w:rsidRPr="007F60AE" w:rsidR="003137DA" w:rsidP="003137DA" w:rsidRDefault="003137DA" w14:paraId="101D24C1" w14:textId="77777777">
      <w:pPr>
        <w:spacing w:after="0" w:line="240" w:lineRule="auto"/>
        <w:jc w:val="both"/>
        <w:rPr>
          <w:rFonts w:cstheme="minorHAnsi"/>
        </w:rPr>
      </w:pPr>
    </w:p>
    <w:p w:rsidR="003137DA" w:rsidP="003137DA" w:rsidRDefault="003137DA" w14:paraId="5A1757C3" w14:textId="77777777"/>
    <w:sectPr w:rsidR="00313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B55B" w14:textId="77777777" w:rsidR="005276E5" w:rsidRDefault="005276E5" w:rsidP="003137DA">
      <w:pPr>
        <w:spacing w:after="0" w:line="240" w:lineRule="auto"/>
      </w:pPr>
      <w:r>
        <w:separator/>
      </w:r>
    </w:p>
  </w:endnote>
  <w:endnote w:type="continuationSeparator" w:id="0">
    <w:p w14:paraId="04191907" w14:textId="77777777" w:rsidR="005276E5" w:rsidRDefault="005276E5" w:rsidP="0031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8F6C" w14:textId="77777777" w:rsidR="005276E5" w:rsidRDefault="005276E5" w:rsidP="003137DA">
      <w:pPr>
        <w:spacing w:after="0" w:line="240" w:lineRule="auto"/>
      </w:pPr>
      <w:r>
        <w:separator/>
      </w:r>
    </w:p>
  </w:footnote>
  <w:footnote w:type="continuationSeparator" w:id="0">
    <w:p w14:paraId="16BD662B" w14:textId="77777777" w:rsidR="005276E5" w:rsidRDefault="005276E5" w:rsidP="00313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A"/>
    <w:rsid w:val="0015644F"/>
    <w:rsid w:val="0028243A"/>
    <w:rsid w:val="0029663D"/>
    <w:rsid w:val="003137DA"/>
    <w:rsid w:val="005276E5"/>
    <w:rsid w:val="009C3D73"/>
    <w:rsid w:val="009D61F7"/>
    <w:rsid w:val="00A824BA"/>
    <w:rsid w:val="00A95B05"/>
    <w:rsid w:val="00B471D6"/>
    <w:rsid w:val="00DA1DE2"/>
    <w:rsid w:val="00DB3D7C"/>
    <w:rsid w:val="00E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D78C"/>
  <w15:chartTrackingRefBased/>
  <w15:docId w15:val="{679DE1AA-7B16-41A7-A1B2-E84B735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waojou.2019.100066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nice.org.uk/guidance/cg1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ce.org.uk/guidance/cg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saci.org/allergy-organisations-join-together-to-launch-new-guidelines-to-safeguard-pupils-with-severe-allergies-while-they-are-at-schoo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saci.org/wp-content/uploads/2021/10/Meeting-the-challenges-of-the-national-allergy-crisis-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0DB886EA05B4FB89E2BC6F7CAFC09" ma:contentTypeVersion="13" ma:contentTypeDescription="Create a new document." ma:contentTypeScope="" ma:versionID="e4dfb04dae08f88aaeb56b7652f45265">
  <xsd:schema xmlns:xsd="http://www.w3.org/2001/XMLSchema" xmlns:xs="http://www.w3.org/2001/XMLSchema" xmlns:p="http://schemas.microsoft.com/office/2006/metadata/properties" xmlns:ns2="686a08b8-ff7c-44cc-9108-84ff621fd704" xmlns:ns3="b9b9c57e-afa3-4b8f-9130-c7e61893aebf" targetNamespace="http://schemas.microsoft.com/office/2006/metadata/properties" ma:root="true" ma:fieldsID="183742fdd682d7a3819bd1e7b1f7c1ea" ns2:_="" ns3:_="">
    <xsd:import namespace="686a08b8-ff7c-44cc-9108-84ff621fd704"/>
    <xsd:import namespace="b9b9c57e-afa3-4b8f-9130-c7e61893a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08b8-ff7c-44cc-9108-84ff621fd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9c57e-afa3-4b8f-9130-c7e61893a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5e20f3-cbc6-41f4-9818-9bf3af889ffa}" ma:internalName="TaxCatchAll" ma:showField="CatchAllData" ma:web="b9b9c57e-afa3-4b8f-9130-c7e61893a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a08b8-ff7c-44cc-9108-84ff621fd704">
      <Terms xmlns="http://schemas.microsoft.com/office/infopath/2007/PartnerControls"/>
    </lcf76f155ced4ddcb4097134ff3c332f>
    <TaxCatchAll xmlns="b9b9c57e-afa3-4b8f-9130-c7e61893aebf" xsi:nil="true"/>
  </documentManagement>
</p:properties>
</file>

<file path=customXml/itemProps1.xml><?xml version="1.0" encoding="utf-8"?>
<ds:datastoreItem xmlns:ds="http://schemas.openxmlformats.org/officeDocument/2006/customXml" ds:itemID="{80F2EF12-5FB1-4FE0-95F8-E8878C835799}"/>
</file>

<file path=customXml/itemProps2.xml><?xml version="1.0" encoding="utf-8"?>
<ds:datastoreItem xmlns:ds="http://schemas.openxmlformats.org/officeDocument/2006/customXml" ds:itemID="{B351559E-E538-499A-A55C-257A8F572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0CB96-1D07-4376-9216-C4FFCD893D7D}">
  <ds:schemaRefs>
    <ds:schemaRef ds:uri="http://schemas.microsoft.com/office/2006/metadata/properties"/>
    <ds:schemaRef ds:uri="http://www.w3.org/2000/xmlns/"/>
    <ds:schemaRef ds:uri="686a08b8-ff7c-44cc-9108-84ff621fd704"/>
    <ds:schemaRef ds:uri="http://schemas.microsoft.com/office/infopath/2007/PartnerControls"/>
    <ds:schemaRef ds:uri="b9b9c57e-afa3-4b8f-9130-c7e61893aebf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LWLTC - Living with allergy during the transition to secondary school</dc:title>
  <dc:subject>
  </dc:subject>
  <dc:creator>Bere Mahoney</dc:creator>
  <cp:keywords>
  </cp:keywords>
  <dc:description>
  </dc:description>
  <cp:lastModifiedBy>Derek Kyte</cp:lastModifiedBy>
  <cp:revision>17</cp:revision>
  <dcterms:created xsi:type="dcterms:W3CDTF">2023-05-12T17:46:00Z</dcterms:created>
  <dcterms:modified xsi:type="dcterms:W3CDTF">2023-11-17T11:22:09Z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0x01010079D0DB886EA05B4FB89E2BC6F7CAFC09</vt:lpwstr>
  </property>
  <property fmtid="{D5CDD505-2E9C-101B-9397-08002B2CF9AE}" pid="3" name="MediaServiceImageTags">
    <vt:lpwstr/>
  </property>
</Properties>
</file>